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E21CF" w14:textId="32BC83AF" w:rsidR="00F32503" w:rsidRDefault="00F32503" w:rsidP="00241BAB">
      <w:pPr>
        <w:pStyle w:val="Corpodetexto"/>
        <w:spacing w:before="235" w:line="360" w:lineRule="auto"/>
        <w:ind w:left="102" w:right="109" w:firstLine="2268"/>
        <w:jc w:val="both"/>
      </w:pPr>
      <w:r>
        <w:t>PROPOSTA DE ATIVIDADE</w:t>
      </w:r>
    </w:p>
    <w:p w14:paraId="69893185" w14:textId="5068067F" w:rsidR="0028110D" w:rsidRDefault="0028110D" w:rsidP="00241BAB">
      <w:pPr>
        <w:pStyle w:val="Corpodetexto"/>
        <w:spacing w:before="235" w:line="360" w:lineRule="auto"/>
        <w:ind w:left="102" w:right="109" w:firstLine="2268"/>
        <w:jc w:val="both"/>
        <w:rPr>
          <w:sz w:val="36"/>
        </w:rPr>
      </w:pPr>
      <w:r>
        <w:t>S</w:t>
      </w:r>
      <w:r w:rsidR="00117BCD">
        <w:t>.</w:t>
      </w:r>
      <w:r>
        <w:t>R</w:t>
      </w:r>
      <w:r w:rsidR="00117BCD">
        <w:t>.</w:t>
      </w:r>
      <w:r>
        <w:t>F</w:t>
      </w:r>
      <w:r w:rsidR="00117BCD">
        <w:t>.</w:t>
      </w:r>
      <w:r>
        <w:t xml:space="preserve"> procurou a Defensoria Pública e relatou que adquiriu</w:t>
      </w:r>
      <w:r>
        <w:rPr>
          <w:spacing w:val="1"/>
        </w:rPr>
        <w:t xml:space="preserve"> </w:t>
      </w:r>
      <w:r>
        <w:t>unidade</w:t>
      </w:r>
      <w:r>
        <w:rPr>
          <w:spacing w:val="1"/>
        </w:rPr>
        <w:t xml:space="preserve"> </w:t>
      </w:r>
      <w:r>
        <w:t>habitacional</w:t>
      </w:r>
      <w:r>
        <w:rPr>
          <w:spacing w:val="1"/>
        </w:rPr>
        <w:t xml:space="preserve"> </w:t>
      </w:r>
      <w:r>
        <w:t>construída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comercializada</w:t>
      </w:r>
      <w:r>
        <w:rPr>
          <w:spacing w:val="-12"/>
        </w:rPr>
        <w:t xml:space="preserve"> </w:t>
      </w:r>
      <w:r>
        <w:rPr>
          <w:spacing w:val="-1"/>
        </w:rPr>
        <w:t>pela</w:t>
      </w:r>
      <w:r>
        <w:rPr>
          <w:spacing w:val="-12"/>
        </w:rPr>
        <w:t xml:space="preserve"> </w:t>
      </w:r>
      <w:r>
        <w:rPr>
          <w:spacing w:val="-1"/>
        </w:rPr>
        <w:t>COHAB/SP,</w:t>
      </w:r>
      <w:r>
        <w:rPr>
          <w:spacing w:val="-9"/>
        </w:rPr>
        <w:t xml:space="preserve"> no condomínio</w:t>
      </w:r>
      <w:r>
        <w:t xml:space="preserve"> Cidade Tiradentes, São Paulo/SP</w:t>
      </w:r>
      <w:r w:rsidR="00117BCD">
        <w:t>.</w:t>
      </w:r>
      <w:r w:rsidR="00241BAB">
        <w:t xml:space="preserve"> </w:t>
      </w:r>
      <w:r>
        <w:t xml:space="preserve">Em 22 de março de 2010, a </w:t>
      </w:r>
      <w:r w:rsidR="00241BAB">
        <w:t>usuária</w:t>
      </w:r>
      <w:r>
        <w:t xml:space="preserve"> aderiu ao ‘Programa 1000’ da</w:t>
      </w:r>
      <w:r>
        <w:rPr>
          <w:spacing w:val="1"/>
        </w:rPr>
        <w:t xml:space="preserve"> </w:t>
      </w:r>
      <w:r>
        <w:t>COHAB</w:t>
      </w:r>
      <w:r>
        <w:rPr>
          <w:spacing w:val="1"/>
        </w:rPr>
        <w:t xml:space="preserve"> </w:t>
      </w:r>
      <w:r>
        <w:t>e</w:t>
      </w:r>
      <w:r w:rsidR="00241BAB">
        <w:t xml:space="preserve"> realizou acordo para pagamento dos débitos, </w:t>
      </w:r>
      <w:r>
        <w:rPr>
          <w:spacing w:val="1"/>
        </w:rPr>
        <w:t xml:space="preserve"> incluindo nessa ocasião a cláusual de </w:t>
      </w:r>
      <w:r>
        <w:t>Alienação</w:t>
      </w:r>
      <w:r>
        <w:rPr>
          <w:spacing w:val="1"/>
        </w:rPr>
        <w:t xml:space="preserve"> </w:t>
      </w:r>
      <w:r>
        <w:t>Fiduciária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Garantia</w:t>
      </w:r>
      <w:r w:rsidR="00117BCD">
        <w:t>, que não constava no contrato originário</w:t>
      </w:r>
      <w:r w:rsidR="00241BAB">
        <w:t>, mas era uma das condições para firmar o parcelamento.</w:t>
      </w:r>
    </w:p>
    <w:p w14:paraId="00A2DF02" w14:textId="7B312F19" w:rsidR="0028110D" w:rsidRDefault="0028110D" w:rsidP="0028110D">
      <w:pPr>
        <w:pStyle w:val="Corpodetexto"/>
        <w:spacing w:line="360" w:lineRule="auto"/>
        <w:ind w:left="102" w:right="107" w:firstLine="2268"/>
        <w:jc w:val="both"/>
        <w:rPr>
          <w:sz w:val="36"/>
        </w:rPr>
      </w:pPr>
      <w:r>
        <w:t>No ano de 2016,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 w:rsidR="00C355E7">
        <w:rPr>
          <w:spacing w:val="1"/>
        </w:rPr>
        <w:t xml:space="preserve">usuária </w:t>
      </w:r>
      <w:r>
        <w:t>ficou</w:t>
      </w:r>
      <w:r w:rsidR="00117BCD">
        <w:t xml:space="preserve"> novamente</w:t>
      </w:r>
      <w:r>
        <w:t xml:space="preserve"> inadimplente em razão da</w:t>
      </w:r>
      <w:r>
        <w:rPr>
          <w:spacing w:val="1"/>
        </w:rPr>
        <w:t xml:space="preserve"> </w:t>
      </w:r>
      <w:r>
        <w:t>alteração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sua condição econômica,</w:t>
      </w:r>
      <w:r>
        <w:rPr>
          <w:spacing w:val="1"/>
        </w:rPr>
        <w:t xml:space="preserve"> </w:t>
      </w:r>
      <w:r>
        <w:t>pois ficou</w:t>
      </w:r>
      <w:r>
        <w:rPr>
          <w:spacing w:val="-1"/>
        </w:rPr>
        <w:t xml:space="preserve"> </w:t>
      </w:r>
      <w:r>
        <w:t>desempregada.</w:t>
      </w:r>
    </w:p>
    <w:p w14:paraId="7CADAF6C" w14:textId="102AC2B8" w:rsidR="0028110D" w:rsidRDefault="0028110D" w:rsidP="0028110D">
      <w:pPr>
        <w:pStyle w:val="Corpodetexto"/>
        <w:spacing w:line="360" w:lineRule="auto"/>
        <w:ind w:left="102" w:right="106" w:firstLine="2268"/>
        <w:jc w:val="both"/>
        <w:rPr>
          <w:sz w:val="36"/>
        </w:rPr>
      </w:pPr>
      <w:r>
        <w:t>Nesse</w:t>
      </w:r>
      <w:r>
        <w:rPr>
          <w:spacing w:val="-9"/>
        </w:rPr>
        <w:t xml:space="preserve"> </w:t>
      </w:r>
      <w:r>
        <w:t>sentido,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interessada,</w:t>
      </w:r>
      <w:r>
        <w:rPr>
          <w:spacing w:val="-1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é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idosa,</w:t>
      </w:r>
      <w:r>
        <w:rPr>
          <w:spacing w:val="-8"/>
        </w:rPr>
        <w:t xml:space="preserve"> </w:t>
      </w:r>
      <w:r>
        <w:t>passa</w:t>
      </w:r>
      <w:r>
        <w:rPr>
          <w:spacing w:val="-11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situação</w:t>
      </w:r>
      <w:r>
        <w:rPr>
          <w:spacing w:val="-51"/>
        </w:rPr>
        <w:t xml:space="preserve"> </w:t>
      </w:r>
      <w:r>
        <w:t>de vulnerabilidade socioeconômica e relatou que, ao tentar regularizar a situação dos</w:t>
      </w:r>
      <w:r>
        <w:rPr>
          <w:spacing w:val="1"/>
        </w:rPr>
        <w:t xml:space="preserve"> </w:t>
      </w:r>
      <w:r>
        <w:t>débitos</w:t>
      </w:r>
      <w:r>
        <w:rPr>
          <w:spacing w:val="-7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aberto,</w:t>
      </w:r>
      <w:r>
        <w:rPr>
          <w:spacing w:val="-3"/>
        </w:rPr>
        <w:t xml:space="preserve"> </w:t>
      </w:r>
      <w:r>
        <w:t>tomou</w:t>
      </w:r>
      <w:r>
        <w:rPr>
          <w:spacing w:val="-6"/>
        </w:rPr>
        <w:t xml:space="preserve"> </w:t>
      </w:r>
      <w:r>
        <w:t>conhecimento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dívida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valor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R$</w:t>
      </w:r>
      <w:r>
        <w:rPr>
          <w:spacing w:val="-4"/>
        </w:rPr>
        <w:t xml:space="preserve"> </w:t>
      </w:r>
      <w:r>
        <w:t>56.189,58,</w:t>
      </w:r>
      <w:r>
        <w:rPr>
          <w:spacing w:val="-3"/>
        </w:rPr>
        <w:t xml:space="preserve"> </w:t>
      </w:r>
      <w:r>
        <w:t>consistentes</w:t>
      </w:r>
      <w:r>
        <w:rPr>
          <w:spacing w:val="-51"/>
        </w:rPr>
        <w:t xml:space="preserve"> </w:t>
      </w:r>
      <w:r>
        <w:t>em 135 parcelas antigas de R$ 413,32 e uma recente no valor de R$ 319,38, o que se</w:t>
      </w:r>
      <w:r>
        <w:rPr>
          <w:spacing w:val="1"/>
        </w:rPr>
        <w:t xml:space="preserve"> </w:t>
      </w:r>
      <w:r>
        <w:t>mostrava</w:t>
      </w:r>
      <w:r>
        <w:rPr>
          <w:spacing w:val="-2"/>
        </w:rPr>
        <w:t xml:space="preserve"> </w:t>
      </w:r>
      <w:r>
        <w:t>completamente</w:t>
      </w:r>
      <w:r>
        <w:rPr>
          <w:spacing w:val="1"/>
        </w:rPr>
        <w:t xml:space="preserve"> </w:t>
      </w:r>
      <w:r>
        <w:t>desconectado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situação financeira</w:t>
      </w:r>
      <w:r>
        <w:rPr>
          <w:spacing w:val="-1"/>
        </w:rPr>
        <w:t xml:space="preserve"> </w:t>
      </w:r>
      <w:r>
        <w:t>atual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autora.</w:t>
      </w:r>
    </w:p>
    <w:p w14:paraId="4BB7C8CA" w14:textId="2D22EFE8" w:rsidR="0028110D" w:rsidRDefault="0028110D" w:rsidP="0028110D">
      <w:pPr>
        <w:pStyle w:val="Corpodetexto"/>
        <w:spacing w:line="360" w:lineRule="auto"/>
        <w:ind w:left="102" w:right="107" w:firstLine="2268"/>
        <w:jc w:val="both"/>
      </w:pPr>
      <w:r>
        <w:t>Em</w:t>
      </w:r>
      <w:r>
        <w:rPr>
          <w:spacing w:val="1"/>
        </w:rPr>
        <w:t xml:space="preserve"> </w:t>
      </w:r>
      <w:r>
        <w:t>janeiro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requerente</w:t>
      </w:r>
      <w:r>
        <w:rPr>
          <w:spacing w:val="1"/>
        </w:rPr>
        <w:t xml:space="preserve"> </w:t>
      </w:r>
      <w:r>
        <w:t>tentou</w:t>
      </w:r>
      <w:r>
        <w:rPr>
          <w:spacing w:val="1"/>
        </w:rPr>
        <w:t xml:space="preserve"> </w:t>
      </w:r>
      <w:r>
        <w:t>negociar</w:t>
      </w:r>
      <w:r>
        <w:rPr>
          <w:spacing w:val="1"/>
        </w:rPr>
        <w:t xml:space="preserve"> </w:t>
      </w:r>
      <w:r>
        <w:t>novamente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informada</w:t>
      </w:r>
      <w:r>
        <w:rPr>
          <w:spacing w:val="1"/>
        </w:rPr>
        <w:t xml:space="preserve"> </w:t>
      </w:r>
      <w:r>
        <w:t>que</w:t>
      </w:r>
      <w:r w:rsidR="00241BAB">
        <w:t xml:space="preserve"> em razão do descumprimento do acordo anterior,</w:t>
      </w:r>
      <w:r>
        <w:t xml:space="preserve">  não haveria mais oportunidade de negociação e o imóvel seria encaminhado para</w:t>
      </w:r>
      <w:r w:rsidR="00117BCD">
        <w:t xml:space="preserve"> processo de retomada e </w:t>
      </w:r>
      <w:r>
        <w:t xml:space="preserve"> leilão extrajudicial, </w:t>
      </w:r>
      <w:r w:rsidR="00241BAB">
        <w:t xml:space="preserve">diretamente </w:t>
      </w:r>
      <w:r>
        <w:t>no cartório competente.</w:t>
      </w:r>
    </w:p>
    <w:p w14:paraId="3172A766" w14:textId="5764B00D" w:rsidR="00117BCD" w:rsidRDefault="00117BCD" w:rsidP="00117BCD">
      <w:pPr>
        <w:pStyle w:val="Corpodetexto"/>
        <w:spacing w:line="360" w:lineRule="auto"/>
        <w:ind w:left="102" w:right="106" w:firstLine="2268"/>
        <w:jc w:val="both"/>
      </w:pPr>
      <w:r>
        <w:t xml:space="preserve">A Defensoria Pública passou a ser reiteradamente procurada em casos semelhantes, </w:t>
      </w:r>
      <w:r w:rsidRPr="00C3052B">
        <w:t>por moradores em débito</w:t>
      </w:r>
      <w:r>
        <w:t>.</w:t>
      </w:r>
      <w:r w:rsidR="00B94A69">
        <w:t xml:space="preserve"> </w:t>
      </w:r>
      <w:r w:rsidR="00241BAB">
        <w:t>Após a requisição de informações, foi constatado que e</w:t>
      </w:r>
      <w:r>
        <w:t>m</w:t>
      </w:r>
      <w:r w:rsidRPr="00C3052B">
        <w:t xml:space="preserve"> 201</w:t>
      </w:r>
      <w:r>
        <w:t>6</w:t>
      </w:r>
      <w:r w:rsidRPr="00C3052B">
        <w:t xml:space="preserve"> foi implementada a transferência d</w:t>
      </w:r>
      <w:r>
        <w:t xml:space="preserve">e parte da </w:t>
      </w:r>
      <w:r w:rsidRPr="00C3052B">
        <w:t>carteira imobiliária</w:t>
      </w:r>
      <w:r>
        <w:t xml:space="preserve"> </w:t>
      </w:r>
      <w:r w:rsidRPr="00C3052B">
        <w:t xml:space="preserve"> composta por 31.492 contratos da </w:t>
      </w:r>
      <w:r>
        <w:t xml:space="preserve">COHAB </w:t>
      </w:r>
      <w:r w:rsidRPr="00C3052B">
        <w:t>à corré SPDA</w:t>
      </w:r>
      <w:r>
        <w:t xml:space="preserve"> (</w:t>
      </w:r>
      <w:r w:rsidRPr="00C3749E">
        <w:t>Companhia São Paulo de Desenvolvimento e Mobilização de Ativos)</w:t>
      </w:r>
      <w:r w:rsidRPr="00C3052B">
        <w:t xml:space="preserve">. </w:t>
      </w:r>
    </w:p>
    <w:p w14:paraId="27586BED" w14:textId="072AAFE1" w:rsidR="00117BCD" w:rsidRDefault="00117BCD" w:rsidP="00F32503">
      <w:pPr>
        <w:pStyle w:val="Corpodetexto"/>
        <w:spacing w:line="360" w:lineRule="auto"/>
        <w:ind w:left="102" w:right="106" w:firstLine="2268"/>
        <w:jc w:val="both"/>
      </w:pPr>
      <w:r w:rsidRPr="00C434A5">
        <w:t xml:space="preserve">De fato, </w:t>
      </w:r>
      <w:r w:rsidRPr="102978F1">
        <w:rPr>
          <w:rFonts w:eastAsiaTheme="minorEastAsia" w:cs="Times-Roman"/>
          <w:lang w:val="pt-BR"/>
        </w:rPr>
        <w:t>a SPDA, corré, é sociedade de economia mista integrante da Administração Indireta do Município de São Paulo que tem por objetivo a promoção de desenvolvimento econômico e a administração do pagamento de dívidas da Prefeitura</w:t>
      </w:r>
      <w:r w:rsidR="00B94A69">
        <w:rPr>
          <w:rFonts w:eastAsiaTheme="minorEastAsia" w:cs="Times-Roman"/>
          <w:lang w:val="pt-BR"/>
        </w:rPr>
        <w:t>.</w:t>
      </w:r>
      <w:r w:rsidR="00241BAB">
        <w:rPr>
          <w:rFonts w:eastAsiaTheme="minorEastAsia" w:cs="Times-Roman"/>
          <w:lang w:val="pt-BR"/>
        </w:rPr>
        <w:t xml:space="preserve"> </w:t>
      </w:r>
      <w:r w:rsidR="00F32503">
        <w:rPr>
          <w:lang w:val="pt-BR"/>
        </w:rPr>
        <w:t>Dentre os contratos cedidos, há</w:t>
      </w:r>
      <w:r w:rsidR="00241BAB">
        <w:t xml:space="preserve"> atualmente 7.898 pessoas em situação de inadimplência, estando, portanto, ameaçadas de </w:t>
      </w:r>
      <w:r w:rsidR="00241BAB">
        <w:lastRenderedPageBreak/>
        <w:t xml:space="preserve">perder suas moradias, além de perder as </w:t>
      </w:r>
      <w:proofErr w:type="gramStart"/>
      <w:r w:rsidR="00F32503">
        <w:t xml:space="preserve">todas </w:t>
      </w:r>
      <w:r w:rsidR="00241BAB">
        <w:t>prestações</w:t>
      </w:r>
      <w:proofErr w:type="gramEnd"/>
      <w:r w:rsidR="00241BAB">
        <w:t xml:space="preserve"> pagas, sem qualquer outro lugar onde possam residir, depois de anos de pagamento de financiamento habitacional.</w:t>
      </w:r>
    </w:p>
    <w:p w14:paraId="3E1A4BDC" w14:textId="5AF9AC18" w:rsidR="00117BCD" w:rsidRDefault="00B94A69" w:rsidP="00117BCD">
      <w:pPr>
        <w:pStyle w:val="Corpodetexto"/>
        <w:spacing w:line="360" w:lineRule="auto"/>
        <w:ind w:left="102" w:right="106" w:firstLine="2268"/>
        <w:jc w:val="both"/>
      </w:pPr>
      <w:r>
        <w:t xml:space="preserve">De acordo com o </w:t>
      </w:r>
      <w:r w:rsidR="00117BCD">
        <w:t>levantamento feito pela Defensoria Pública</w:t>
      </w:r>
      <w:r w:rsidR="00117BCD" w:rsidRPr="3C5CCE54">
        <w:rPr>
          <w:rStyle w:val="Refdenotaderodap"/>
        </w:rPr>
        <w:footnoteReference w:id="1"/>
      </w:r>
      <w:r w:rsidR="00117BCD">
        <w:t xml:space="preserve"> com moradores de condomínios da COHAB em Cidade Tiradentes:</w:t>
      </w:r>
    </w:p>
    <w:p w14:paraId="142836AE" w14:textId="265BECC2" w:rsidR="00117BCD" w:rsidRDefault="00117BCD" w:rsidP="00117BCD">
      <w:pPr>
        <w:pStyle w:val="Corpodetexto"/>
        <w:spacing w:line="360" w:lineRule="auto"/>
        <w:ind w:right="106"/>
        <w:jc w:val="both"/>
      </w:pPr>
      <w:r>
        <w:rPr>
          <w:noProof/>
        </w:rPr>
        <w:drawing>
          <wp:inline distT="0" distB="0" distL="0" distR="0" wp14:anchorId="2F969C67" wp14:editId="42009447">
            <wp:extent cx="5400040" cy="1463014"/>
            <wp:effectExtent l="0" t="0" r="0" b="4445"/>
            <wp:docPr id="483661186" name="Imagem 483661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63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BB31C" w14:textId="77777777" w:rsidR="00117BCD" w:rsidRPr="00C3052B" w:rsidRDefault="00117BCD" w:rsidP="00117BCD">
      <w:pPr>
        <w:pStyle w:val="Corpodetexto"/>
        <w:spacing w:line="360" w:lineRule="auto"/>
        <w:ind w:left="102" w:right="106" w:firstLine="2268"/>
        <w:jc w:val="both"/>
      </w:pPr>
    </w:p>
    <w:p w14:paraId="00168ACB" w14:textId="263BF723" w:rsidR="00117BCD" w:rsidRDefault="00117BCD" w:rsidP="0028110D">
      <w:pPr>
        <w:pStyle w:val="Corpodetexto"/>
        <w:spacing w:line="360" w:lineRule="auto"/>
        <w:ind w:left="102" w:right="107" w:firstLine="2268"/>
        <w:jc w:val="both"/>
        <w:rPr>
          <w:sz w:val="36"/>
        </w:rPr>
      </w:pPr>
    </w:p>
    <w:p w14:paraId="385C5DC1" w14:textId="0FD95F88" w:rsidR="0028110D" w:rsidRDefault="00B94A69" w:rsidP="0028110D">
      <w:pPr>
        <w:pStyle w:val="Corpodetexto"/>
        <w:spacing w:before="4"/>
        <w:rPr>
          <w:sz w:val="36"/>
        </w:rPr>
      </w:pPr>
      <w:r>
        <w:rPr>
          <w:sz w:val="36"/>
        </w:rPr>
        <w:t>Diante da situação relatada:</w:t>
      </w:r>
    </w:p>
    <w:p w14:paraId="2D724558" w14:textId="77777777" w:rsidR="00B94A69" w:rsidRDefault="00B94A69" w:rsidP="0028110D">
      <w:pPr>
        <w:pStyle w:val="Corpodetexto"/>
        <w:spacing w:before="4"/>
        <w:rPr>
          <w:sz w:val="36"/>
        </w:rPr>
      </w:pPr>
    </w:p>
    <w:p w14:paraId="3BCF0A37" w14:textId="4A979CDB" w:rsidR="00241BAB" w:rsidRDefault="00B94A69" w:rsidP="00241BAB">
      <w:pPr>
        <w:pStyle w:val="Corpodetexto"/>
        <w:numPr>
          <w:ilvl w:val="0"/>
          <w:numId w:val="1"/>
        </w:numPr>
        <w:spacing w:before="4"/>
        <w:rPr>
          <w:sz w:val="36"/>
        </w:rPr>
      </w:pPr>
      <w:r w:rsidRPr="00241BAB">
        <w:rPr>
          <w:sz w:val="36"/>
        </w:rPr>
        <w:t>É possível identificar incompatibilidades com os objetivos da política pública de moradia? Quais seriam</w:t>
      </w:r>
      <w:r w:rsidR="00241BAB" w:rsidRPr="00241BAB">
        <w:rPr>
          <w:sz w:val="36"/>
        </w:rPr>
        <w:t xml:space="preserve"> esses pontos</w:t>
      </w:r>
      <w:r w:rsidRPr="00241BAB">
        <w:rPr>
          <w:sz w:val="36"/>
        </w:rPr>
        <w:t>?</w:t>
      </w:r>
    </w:p>
    <w:p w14:paraId="14144F73" w14:textId="2DEE2315" w:rsidR="00F32503" w:rsidRPr="00241BAB" w:rsidRDefault="00F32503" w:rsidP="00241BAB">
      <w:pPr>
        <w:pStyle w:val="Corpodetexto"/>
        <w:numPr>
          <w:ilvl w:val="0"/>
          <w:numId w:val="1"/>
        </w:numPr>
        <w:spacing w:before="4"/>
        <w:rPr>
          <w:sz w:val="36"/>
        </w:rPr>
      </w:pPr>
      <w:r>
        <w:rPr>
          <w:sz w:val="36"/>
        </w:rPr>
        <w:t>Em que medida os usuários inadimplementes podem ser beneficiados pelo microssistema jurídico do consumidor?</w:t>
      </w:r>
    </w:p>
    <w:p w14:paraId="481F1603" w14:textId="37D94885" w:rsidR="00B94A69" w:rsidRDefault="00B94A69" w:rsidP="00B94A69">
      <w:pPr>
        <w:pStyle w:val="Corpodetexto"/>
        <w:numPr>
          <w:ilvl w:val="0"/>
          <w:numId w:val="1"/>
        </w:numPr>
        <w:spacing w:before="4"/>
        <w:rPr>
          <w:sz w:val="36"/>
        </w:rPr>
      </w:pPr>
      <w:r>
        <w:rPr>
          <w:sz w:val="36"/>
        </w:rPr>
        <w:t>É possível o ajuizamento de ação judicial? Quais seriam os pontos impugnados e os respectivos fundamentos?</w:t>
      </w:r>
    </w:p>
    <w:p w14:paraId="23426D23" w14:textId="7E51A112" w:rsidR="00241BAB" w:rsidRDefault="00241BAB" w:rsidP="00B94A69">
      <w:pPr>
        <w:pStyle w:val="Corpodetexto"/>
        <w:numPr>
          <w:ilvl w:val="0"/>
          <w:numId w:val="1"/>
        </w:numPr>
        <w:spacing w:before="4"/>
        <w:rPr>
          <w:sz w:val="36"/>
        </w:rPr>
      </w:pPr>
      <w:r>
        <w:rPr>
          <w:sz w:val="36"/>
        </w:rPr>
        <w:t>De forma extrajudicial, quais as medidas cabíveis para o enfrentamento da questão?</w:t>
      </w:r>
    </w:p>
    <w:sectPr w:rsidR="00241BA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A8099" w14:textId="77777777" w:rsidR="00117BCD" w:rsidRDefault="00117BCD" w:rsidP="00117BCD">
      <w:r>
        <w:separator/>
      </w:r>
    </w:p>
  </w:endnote>
  <w:endnote w:type="continuationSeparator" w:id="0">
    <w:p w14:paraId="72A17181" w14:textId="77777777" w:rsidR="00117BCD" w:rsidRDefault="00117BCD" w:rsidP="0011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B0AA0" w14:textId="77777777" w:rsidR="00117BCD" w:rsidRDefault="00117BCD" w:rsidP="00117BCD">
      <w:r>
        <w:separator/>
      </w:r>
    </w:p>
  </w:footnote>
  <w:footnote w:type="continuationSeparator" w:id="0">
    <w:p w14:paraId="4AEA90E4" w14:textId="77777777" w:rsidR="00117BCD" w:rsidRDefault="00117BCD" w:rsidP="00117BCD">
      <w:r>
        <w:continuationSeparator/>
      </w:r>
    </w:p>
  </w:footnote>
  <w:footnote w:id="1">
    <w:p w14:paraId="11DCFACF" w14:textId="77777777" w:rsidR="00117BCD" w:rsidRDefault="00117BCD" w:rsidP="00117BCD">
      <w:pPr>
        <w:pStyle w:val="Textodenotaderodap"/>
      </w:pPr>
      <w:r w:rsidRPr="3C5CCE54">
        <w:rPr>
          <w:rStyle w:val="Refdenotaderodap"/>
        </w:rPr>
        <w:footnoteRef/>
      </w:r>
      <w:r>
        <w:t xml:space="preserve"> A análise constitui em coleta de dados realizada pela Defensoria Pública em parceria com o LabCidade (laboratório da Faculdade de Arquitetura e Urbanismo da Universidade de São Paulo) em 18/05/2024, com um total de 37 pessoas entrevistadas.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D0035" w14:textId="318FBDD8" w:rsidR="00F32503" w:rsidRDefault="00F32503" w:rsidP="00D15799">
    <w:pPr>
      <w:pStyle w:val="Cabealho"/>
      <w:tabs>
        <w:tab w:val="clear" w:pos="4252"/>
        <w:tab w:val="center" w:pos="8504"/>
      </w:tabs>
    </w:pPr>
    <w:r>
      <w:rPr>
        <w:noProof/>
      </w:rPr>
      <w:drawing>
        <wp:inline distT="0" distB="0" distL="0" distR="0" wp14:anchorId="01CCA7FD" wp14:editId="492C684E">
          <wp:extent cx="2426335" cy="445135"/>
          <wp:effectExtent l="0" t="0" r="0" b="0"/>
          <wp:docPr id="135591324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33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04D3A">
      <w:t xml:space="preserve">        </w:t>
    </w:r>
    <w:r w:rsidR="00904D3A">
      <w:rPr>
        <w:noProof/>
      </w:rPr>
      <w:drawing>
        <wp:inline distT="0" distB="0" distL="0" distR="0" wp14:anchorId="6FF0A303" wp14:editId="2C172BCA">
          <wp:extent cx="2493645" cy="841375"/>
          <wp:effectExtent l="0" t="0" r="1905" b="0"/>
          <wp:docPr id="141082868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FA4398" w14:textId="77777777" w:rsidR="00F32503" w:rsidRDefault="00F325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21246"/>
    <w:multiLevelType w:val="hybridMultilevel"/>
    <w:tmpl w:val="893E7D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500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0D"/>
    <w:rsid w:val="0011306C"/>
    <w:rsid w:val="00117BCD"/>
    <w:rsid w:val="00171D34"/>
    <w:rsid w:val="00241BAB"/>
    <w:rsid w:val="0028110D"/>
    <w:rsid w:val="00495DF9"/>
    <w:rsid w:val="00904D3A"/>
    <w:rsid w:val="00B94A69"/>
    <w:rsid w:val="00C355E7"/>
    <w:rsid w:val="00D15799"/>
    <w:rsid w:val="00F3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6A6637A"/>
  <w15:chartTrackingRefBased/>
  <w15:docId w15:val="{1E9AB30A-6E90-46CF-A8DD-AB91A4D8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10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8110D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8110D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110D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8110D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110D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110D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110D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110D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110D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811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811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811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811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110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11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110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11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11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8110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81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110D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81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8110D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8110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8110D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8110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110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110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8110D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28110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8110D"/>
    <w:rPr>
      <w:rFonts w:ascii="Cambria" w:eastAsia="Cambria" w:hAnsi="Cambria" w:cs="Cambria"/>
      <w:kern w:val="0"/>
      <w:lang w:val="pt-PT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17B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17BCD"/>
    <w:rPr>
      <w:rFonts w:ascii="Cambria" w:eastAsia="Cambria" w:hAnsi="Cambria" w:cs="Cambria"/>
      <w:kern w:val="0"/>
      <w:sz w:val="20"/>
      <w:szCs w:val="20"/>
      <w:lang w:val="pt-PT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117B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F325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2503"/>
    <w:rPr>
      <w:rFonts w:ascii="Cambria" w:eastAsia="Cambria" w:hAnsi="Cambria" w:cs="Cambria"/>
      <w:kern w:val="0"/>
      <w:sz w:val="22"/>
      <w:szCs w:val="22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325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2503"/>
    <w:rPr>
      <w:rFonts w:ascii="Cambria" w:eastAsia="Cambria" w:hAnsi="Cambria" w:cs="Cambria"/>
      <w:kern w:val="0"/>
      <w:sz w:val="22"/>
      <w:szCs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Taissa Nunes Vieira Pinheiro</dc:creator>
  <cp:keywords/>
  <dc:description/>
  <cp:lastModifiedBy>Taissa Nunes Vieira Pinheiro</cp:lastModifiedBy>
  <cp:revision>2</cp:revision>
  <dcterms:created xsi:type="dcterms:W3CDTF">2024-07-10T21:01:00Z</dcterms:created>
  <dcterms:modified xsi:type="dcterms:W3CDTF">2024-07-10T21:01:00Z</dcterms:modified>
</cp:coreProperties>
</file>