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4D" w:rsidRDefault="00B40FB1">
      <w:bookmarkStart w:id="0" w:name="_GoBack"/>
      <w:bookmarkEnd w:id="0"/>
      <w:r>
        <w:t>DEFENSORIA QUESTÕES TUTELA PROVISÓRIA</w:t>
      </w:r>
    </w:p>
    <w:p w:rsidR="00B40FB1" w:rsidRDefault="00B40FB1"/>
    <w:p w:rsidR="00B40FB1" w:rsidRDefault="00B40FB1"/>
    <w:p w:rsidR="00B40FB1" w:rsidRPr="00B40FB1" w:rsidRDefault="00B40FB1" w:rsidP="00B40FB1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B40FB1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Ano:</w:t>
      </w:r>
      <w:r w:rsidRPr="00B40FB1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2017</w:t>
      </w:r>
    </w:p>
    <w:p w:rsidR="00B40FB1" w:rsidRPr="00B40FB1" w:rsidRDefault="00B40FB1" w:rsidP="00B40FB1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B40FB1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Banca:</w:t>
      </w:r>
      <w:r w:rsidRPr="00B40FB1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FCC</w:t>
      </w:r>
    </w:p>
    <w:p w:rsidR="00B40FB1" w:rsidRPr="00B40FB1" w:rsidRDefault="00B40FB1" w:rsidP="00B40FB1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B40FB1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Órgão:</w:t>
      </w:r>
      <w:r w:rsidRPr="00B40FB1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DPE-PR</w:t>
      </w:r>
    </w:p>
    <w:p w:rsidR="00B40FB1" w:rsidRPr="00B40FB1" w:rsidRDefault="00B40FB1" w:rsidP="00B40FB1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B40FB1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Prova:</w:t>
      </w:r>
      <w:r w:rsidRPr="00B40FB1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</w:t>
      </w:r>
      <w:hyperlink r:id="rId5" w:history="1">
        <w:r w:rsidRPr="00B40FB1">
          <w:rPr>
            <w:rFonts w:ascii="Times New Roman" w:eastAsia="Times New Roman" w:hAnsi="Times New Roman" w:cs="Times New Roman"/>
            <w:color w:val="767676"/>
            <w:sz w:val="19"/>
            <w:szCs w:val="19"/>
            <w:u w:val="single"/>
            <w:lang w:eastAsia="pt-BR"/>
          </w:rPr>
          <w:t>Defensor Público</w:t>
        </w:r>
      </w:hyperlink>
    </w:p>
    <w:p w:rsidR="00B40FB1" w:rsidRPr="00B40FB1" w:rsidRDefault="00B40FB1" w:rsidP="00B40FB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lang w:eastAsia="pt-BR"/>
        </w:rPr>
      </w:pPr>
      <w:r w:rsidRPr="00B40FB1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t>Com base no Código de Processo Civil de 2015, a respeito da tutela provisória, é correto afirmar: </w:t>
      </w:r>
    </w:p>
    <w:p w:rsidR="00B40FB1" w:rsidRPr="00B40FB1" w:rsidRDefault="00B40FB1" w:rsidP="00B40F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40FB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B40FB1" w:rsidRP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 w:rsidRPr="00B40FB1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7.25pt" o:ole="">
            <v:imagedata r:id="rId6" o:title=""/>
          </v:shape>
          <w:control r:id="rId7" w:name="DefaultOcxName" w:shapeid="_x0000_i1056"/>
        </w:object>
      </w:r>
      <w:r w:rsidRPr="00B40FB1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proofErr w:type="gramStart"/>
      <w:r w:rsidRPr="00B40FB1">
        <w:rPr>
          <w:rFonts w:ascii="Tahoma" w:eastAsia="Times New Roman" w:hAnsi="Tahoma" w:cs="Tahoma"/>
          <w:color w:val="525252"/>
          <w:lang w:eastAsia="pt-BR"/>
        </w:rPr>
        <w:t>a)É</w:t>
      </w:r>
      <w:proofErr w:type="gramEnd"/>
      <w:r w:rsidRPr="00B40FB1">
        <w:rPr>
          <w:rFonts w:ascii="Tahoma" w:eastAsia="Times New Roman" w:hAnsi="Tahoma" w:cs="Tahoma"/>
          <w:color w:val="525252"/>
          <w:lang w:eastAsia="pt-BR"/>
        </w:rPr>
        <w:t xml:space="preserve"> vedada a exigência de recolhimento de custas para apreciar requerimento de tutela provisória incidental, cuja decisão, se assim subordiná-lo, é recorrível por meio de agravo de instrumento. </w:t>
      </w:r>
    </w:p>
    <w:p w:rsidR="00B40FB1" w:rsidRP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 w:rsidRPr="00B40FB1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59" type="#_x0000_t75" style="width:20.25pt;height:17.25pt" o:ole="">
            <v:imagedata r:id="rId6" o:title=""/>
          </v:shape>
          <w:control r:id="rId8" w:name="DefaultOcxName1" w:shapeid="_x0000_i1059"/>
        </w:object>
      </w:r>
      <w:r w:rsidRPr="00B40FB1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proofErr w:type="gramStart"/>
      <w:r w:rsidRPr="00B40FB1">
        <w:rPr>
          <w:rFonts w:ascii="Tahoma" w:eastAsia="Times New Roman" w:hAnsi="Tahoma" w:cs="Tahoma"/>
          <w:color w:val="525252"/>
          <w:lang w:eastAsia="pt-BR"/>
        </w:rPr>
        <w:t>b)A</w:t>
      </w:r>
      <w:proofErr w:type="gramEnd"/>
      <w:r w:rsidRPr="00B40FB1">
        <w:rPr>
          <w:rFonts w:ascii="Tahoma" w:eastAsia="Times New Roman" w:hAnsi="Tahoma" w:cs="Tahoma"/>
          <w:color w:val="525252"/>
          <w:lang w:eastAsia="pt-BR"/>
        </w:rPr>
        <w:t xml:space="preserve"> tutela provisória de urgência, assim como a tutela provisória de evidência, pode ser concedida em caráter antecedente ou incidente. </w:t>
      </w:r>
    </w:p>
    <w:p w:rsidR="00B40FB1" w:rsidRP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 w:rsidRPr="00B40FB1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62" type="#_x0000_t75" style="width:20.25pt;height:17.25pt" o:ole="">
            <v:imagedata r:id="rId6" o:title=""/>
          </v:shape>
          <w:control r:id="rId9" w:name="DefaultOcxName2" w:shapeid="_x0000_i1062"/>
        </w:object>
      </w:r>
      <w:r w:rsidRPr="00B40FB1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proofErr w:type="gramStart"/>
      <w:r w:rsidRPr="00B40FB1">
        <w:rPr>
          <w:rFonts w:ascii="Tahoma" w:eastAsia="Times New Roman" w:hAnsi="Tahoma" w:cs="Tahoma"/>
          <w:color w:val="525252"/>
          <w:lang w:eastAsia="pt-BR"/>
        </w:rPr>
        <w:t>c)É</w:t>
      </w:r>
      <w:proofErr w:type="gramEnd"/>
      <w:r w:rsidRPr="00B40FB1">
        <w:rPr>
          <w:rFonts w:ascii="Tahoma" w:eastAsia="Times New Roman" w:hAnsi="Tahoma" w:cs="Tahoma"/>
          <w:color w:val="525252"/>
          <w:lang w:eastAsia="pt-BR"/>
        </w:rPr>
        <w:t xml:space="preserve"> cabível ação rescisória no prazo decadencial de dois anos da decisão que estabiliza os efeitos da tutela antecipada. </w:t>
      </w:r>
    </w:p>
    <w:p w:rsidR="00B40FB1" w:rsidRP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 w:rsidRPr="00B40FB1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65" type="#_x0000_t75" style="width:20.25pt;height:17.25pt" o:ole="">
            <v:imagedata r:id="rId6" o:title=""/>
          </v:shape>
          <w:control r:id="rId10" w:name="DefaultOcxName3" w:shapeid="_x0000_i1065"/>
        </w:object>
      </w:r>
      <w:r w:rsidRPr="00B40FB1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proofErr w:type="gramStart"/>
      <w:r w:rsidRPr="00B40FB1">
        <w:rPr>
          <w:rFonts w:ascii="Tahoma" w:eastAsia="Times New Roman" w:hAnsi="Tahoma" w:cs="Tahoma"/>
          <w:color w:val="525252"/>
          <w:lang w:eastAsia="pt-BR"/>
        </w:rPr>
        <w:t>d)A</w:t>
      </w:r>
      <w:proofErr w:type="gramEnd"/>
      <w:r w:rsidRPr="00B40FB1">
        <w:rPr>
          <w:rFonts w:ascii="Tahoma" w:eastAsia="Times New Roman" w:hAnsi="Tahoma" w:cs="Tahoma"/>
          <w:color w:val="525252"/>
          <w:lang w:eastAsia="pt-BR"/>
        </w:rPr>
        <w:t xml:space="preserve"> tutela de evidência prescinde de risco ao resultado útil do processo e do perigo de dano, e poderá ser concedida de maneira liminar quando ficar caracterizado o abuso do direito de defesa. </w:t>
      </w: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 w:rsidRPr="00B40FB1">
        <w:rPr>
          <w:rFonts w:ascii="Tahoma" w:eastAsia="Times New Roman" w:hAnsi="Tahoma" w:cs="Tahoma"/>
          <w:color w:val="58585B"/>
          <w:sz w:val="24"/>
          <w:szCs w:val="24"/>
        </w:rPr>
        <w:object w:dxaOrig="225" w:dyaOrig="225">
          <v:shape id="_x0000_i1068" type="#_x0000_t75" style="width:20.25pt;height:17.25pt" o:ole="">
            <v:imagedata r:id="rId6" o:title=""/>
          </v:shape>
          <w:control r:id="rId11" w:name="DefaultOcxName4" w:shapeid="_x0000_i1068"/>
        </w:object>
      </w:r>
      <w:r w:rsidRPr="00B40FB1">
        <w:rPr>
          <w:rFonts w:ascii="Tahoma" w:eastAsia="Times New Roman" w:hAnsi="Tahoma" w:cs="Tahoma"/>
          <w:color w:val="58585B"/>
          <w:sz w:val="24"/>
          <w:szCs w:val="24"/>
          <w:lang w:eastAsia="pt-BR"/>
        </w:rPr>
        <w:t> </w:t>
      </w:r>
      <w:proofErr w:type="gramStart"/>
      <w:r w:rsidRPr="00B40FB1">
        <w:rPr>
          <w:rFonts w:ascii="Tahoma" w:eastAsia="Times New Roman" w:hAnsi="Tahoma" w:cs="Tahoma"/>
          <w:color w:val="525252"/>
          <w:lang w:eastAsia="pt-BR"/>
        </w:rPr>
        <w:t>e)</w:t>
      </w:r>
      <w:r>
        <w:rPr>
          <w:rFonts w:ascii="Tahoma" w:eastAsia="Times New Roman" w:hAnsi="Tahoma" w:cs="Tahoma"/>
          <w:color w:val="525252"/>
          <w:lang w:eastAsia="pt-BR"/>
        </w:rPr>
        <w:t xml:space="preserve"> </w:t>
      </w:r>
      <w:r w:rsidRPr="00B40FB1">
        <w:rPr>
          <w:rFonts w:ascii="Tahoma" w:eastAsia="Times New Roman" w:hAnsi="Tahoma" w:cs="Tahoma"/>
          <w:color w:val="525252"/>
          <w:lang w:eastAsia="pt-BR"/>
        </w:rPr>
        <w:t>Na</w:t>
      </w:r>
      <w:proofErr w:type="gramEnd"/>
      <w:r w:rsidRPr="00B40FB1">
        <w:rPr>
          <w:rFonts w:ascii="Tahoma" w:eastAsia="Times New Roman" w:hAnsi="Tahoma" w:cs="Tahoma"/>
          <w:color w:val="525252"/>
          <w:lang w:eastAsia="pt-BR"/>
        </w:rPr>
        <w:t xml:space="preserve"> denunciação da lide, fica vedada a concessão de tutela provisória quando o denunciante for o réu. </w:t>
      </w: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>
        <w:rPr>
          <w:rFonts w:ascii="Tahoma" w:eastAsia="Times New Roman" w:hAnsi="Tahoma" w:cs="Tahoma"/>
          <w:color w:val="525252"/>
          <w:lang w:eastAsia="pt-BR"/>
        </w:rPr>
        <w:t>Gabarito: a</w:t>
      </w: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Ano: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2016</w:t>
      </w: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Banca: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FCC</w:t>
      </w: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Órgão: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DPE-ES</w:t>
      </w: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Prova: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</w:t>
      </w:r>
      <w:hyperlink r:id="rId12" w:history="1">
        <w:r w:rsidRPr="00EF277A">
          <w:rPr>
            <w:rFonts w:ascii="Times New Roman" w:eastAsia="Times New Roman" w:hAnsi="Times New Roman" w:cs="Times New Roman"/>
            <w:color w:val="767676"/>
            <w:sz w:val="19"/>
            <w:szCs w:val="19"/>
            <w:u w:val="single"/>
            <w:lang w:eastAsia="pt-BR"/>
          </w:rPr>
          <w:t>Defensor Público</w:t>
        </w:r>
      </w:hyperlink>
    </w:p>
    <w:p w:rsidR="00EF277A" w:rsidRPr="00EF277A" w:rsidRDefault="00EF277A" w:rsidP="00EF277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Considere as seguintes situações abaixo:</w:t>
      </w:r>
    </w:p>
    <w:p w:rsidR="00EF277A" w:rsidRPr="00EF277A" w:rsidRDefault="00EF277A" w:rsidP="00EF277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I. Cumulação de pedidos, um deles restando incontroverso.</w:t>
      </w:r>
    </w:p>
    <w:p w:rsidR="00EF277A" w:rsidRPr="00EF277A" w:rsidRDefault="00EF277A" w:rsidP="00EF277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II. Abuso do direito de defesa.</w:t>
      </w:r>
    </w:p>
    <w:p w:rsidR="00EF277A" w:rsidRPr="00EF277A" w:rsidRDefault="00EF277A" w:rsidP="00EF277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III. Concessão de antecipação de tutela antecedente de urgência.</w:t>
      </w:r>
    </w:p>
    <w:p w:rsidR="00EF277A" w:rsidRPr="00EF277A" w:rsidRDefault="00EF277A" w:rsidP="00EF277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IV. Ação de consignação em pagamento proposta contra dois supostos credores, por não saber a quem se deve pagar.</w:t>
      </w:r>
    </w:p>
    <w:p w:rsidR="00EF277A" w:rsidRPr="00EF277A" w:rsidRDefault="00EF277A" w:rsidP="00EF277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É correto afirmar que</w:t>
      </w:r>
    </w:p>
    <w:p w:rsidR="00EF277A" w:rsidRPr="00EF277A" w:rsidRDefault="00EF277A" w:rsidP="00EF27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25pt;height:17.25pt" o:ole="">
            <v:imagedata r:id="rId6" o:title=""/>
          </v:shape>
          <w:control r:id="rId13" w:name="DefaultOcxName11" w:shapeid="_x0000_i1071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>a)a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 xml:space="preserve"> primeira trata de hipótese que permite a prolação de sentença parcial de mérito, em julgamento que pode produzir coisa julgada; a segunda, de tutela da evidência, que não faz coisa julgada; a terceira pode se tornar estável caso a outra parte não apresente recurso; a quarta, se trata de litisconsórcio passivo sucessivo.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74" type="#_x0000_t75" style="width:20.25pt;height:17.25pt" o:ole="">
            <v:imagedata r:id="rId6" o:title=""/>
          </v:shape>
          <w:control r:id="rId14" w:name="DefaultOcxName21" w:shapeid="_x0000_i1074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>b)as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 xml:space="preserve"> três primeiras tratam de hipóteses que permitem a tutela provisória da urgência, que não faz coisa julgada, mas pode estabilizar os seus efeitos; a quarta, se trata de litisconsórcio passivo alternativo.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0.25pt;height:17.25pt" o:ole="">
            <v:imagedata r:id="rId6" o:title=""/>
          </v:shape>
          <w:control r:id="rId15" w:name="DefaultOcxName31" w:shapeid="_x0000_i1077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>c)as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 xml:space="preserve"> duas primeiras tratam de hipóteses que permitem a prolação de sentença parcial de mérito, em julgamento que pode produzir coisa julgada; a terceira pode se tornar estável caso a outra parte não apresente recurso; a quarta, se trata de litisconsórcio passivo alternativo.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25pt;height:17.25pt" o:ole="">
            <v:imagedata r:id="rId6" o:title=""/>
          </v:shape>
          <w:control r:id="rId16" w:name="DefaultOcxName41" w:shapeid="_x0000_i1080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>d)a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 xml:space="preserve"> primeira trata de hipótese que permite a prolação de sentença parcial de mérito, em julgamento que pode produzir coisa julgada; a segunda, de hipótese que permite a concessão de tutela da evidência, que não faz coisa julgada e nem se estabiliza; a terceira pode se tornar estável caso a outra parte não apresente recurso; a quarta, se trata de litisconsórcio passivo alternativo.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0.25pt;height:17.25pt" o:ole="">
            <v:imagedata r:id="rId6" o:title=""/>
          </v:shape>
          <w:control r:id="rId17" w:name="DefaultOcxName5" w:shapeid="_x0000_i1083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>e)as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sz w:val="24"/>
          <w:szCs w:val="24"/>
          <w:lang w:eastAsia="pt-BR"/>
        </w:rPr>
        <w:t xml:space="preserve"> duas primeiras tratam de hipóteses que permitem a tutela provisória da urgência, que não faz coisa julgada; a terceira pode estabilizar os seus efeitos caso a parte não apresente recurso; a quarta, se trata de litisconsórcio eventual</w:t>
      </w:r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>.</w:t>
      </w:r>
    </w:p>
    <w:p w:rsidR="00EF277A" w:rsidRPr="00EF277A" w:rsidRDefault="00EF277A" w:rsidP="00EF27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F277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</w:p>
    <w:p w:rsidR="00B40FB1" w:rsidRDefault="00B40FB1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</w:p>
    <w:p w:rsidR="00EF277A" w:rsidRDefault="00EF277A" w:rsidP="00B40F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lang w:eastAsia="pt-BR"/>
        </w:rPr>
      </w:pPr>
      <w:r>
        <w:rPr>
          <w:rFonts w:ascii="Tahoma" w:eastAsia="Times New Roman" w:hAnsi="Tahoma" w:cs="Tahoma"/>
          <w:color w:val="525252"/>
          <w:lang w:eastAsia="pt-BR"/>
        </w:rPr>
        <w:t>GABARITO: D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Style w:val="Forte"/>
          <w:rFonts w:ascii="Tahoma" w:hAnsi="Tahoma" w:cs="Tahoma"/>
          <w:color w:val="666666"/>
          <w:sz w:val="21"/>
          <w:szCs w:val="21"/>
        </w:rPr>
        <w:t>I. Cumulação de pedidos, um deles restando incontroverso.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proofErr w:type="gramStart"/>
      <w:r>
        <w:rPr>
          <w:rStyle w:val="Forte"/>
          <w:rFonts w:ascii="Tahoma" w:hAnsi="Tahoma" w:cs="Tahoma"/>
          <w:color w:val="666666"/>
          <w:sz w:val="21"/>
          <w:szCs w:val="21"/>
        </w:rPr>
        <w:t>a</w:t>
      </w:r>
      <w:proofErr w:type="gramEnd"/>
      <w:r>
        <w:rPr>
          <w:rStyle w:val="Forte"/>
          <w:rFonts w:ascii="Tahoma" w:hAnsi="Tahoma" w:cs="Tahoma"/>
          <w:color w:val="666666"/>
          <w:sz w:val="21"/>
          <w:szCs w:val="21"/>
        </w:rPr>
        <w:t xml:space="preserve"> primeira trata de hipótese que permite a prolação de sentença parcial de mérito, em julgamento que pode produzir coisa julgada;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Style w:val="Forte"/>
          <w:rFonts w:ascii="Tahoma" w:hAnsi="Tahoma" w:cs="Tahoma"/>
          <w:color w:val="00FF00"/>
          <w:sz w:val="21"/>
          <w:szCs w:val="21"/>
        </w:rPr>
        <w:t>II. Abuso do direito de defesa.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proofErr w:type="spellStart"/>
      <w:proofErr w:type="gramStart"/>
      <w:r>
        <w:rPr>
          <w:rStyle w:val="Forte"/>
          <w:rFonts w:ascii="Tahoma" w:hAnsi="Tahoma" w:cs="Tahoma"/>
          <w:color w:val="00FF00"/>
          <w:sz w:val="21"/>
          <w:szCs w:val="21"/>
        </w:rPr>
        <w:t>a</w:t>
      </w:r>
      <w:proofErr w:type="spellEnd"/>
      <w:proofErr w:type="gramEnd"/>
      <w:r>
        <w:rPr>
          <w:rStyle w:val="Forte"/>
          <w:rFonts w:ascii="Tahoma" w:hAnsi="Tahoma" w:cs="Tahoma"/>
          <w:color w:val="00FF00"/>
          <w:sz w:val="21"/>
          <w:szCs w:val="21"/>
        </w:rPr>
        <w:t xml:space="preserve"> segunda, de hipótese que permite a concessão de tutela da evidência, que não faz coisa julgada e nem se estabiliza;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Style w:val="Forte"/>
          <w:rFonts w:ascii="Tahoma" w:hAnsi="Tahoma" w:cs="Tahoma"/>
          <w:color w:val="FF0000"/>
          <w:sz w:val="21"/>
          <w:szCs w:val="21"/>
        </w:rPr>
        <w:t>III. Concessão de antecipação de tutela antecedente de urgência.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proofErr w:type="gramStart"/>
      <w:r>
        <w:rPr>
          <w:rStyle w:val="Forte"/>
          <w:rFonts w:ascii="Tahoma" w:hAnsi="Tahoma" w:cs="Tahoma"/>
          <w:color w:val="FF0000"/>
          <w:sz w:val="21"/>
          <w:szCs w:val="21"/>
        </w:rPr>
        <w:t>a</w:t>
      </w:r>
      <w:proofErr w:type="gramEnd"/>
      <w:r>
        <w:rPr>
          <w:rStyle w:val="Forte"/>
          <w:rFonts w:ascii="Tahoma" w:hAnsi="Tahoma" w:cs="Tahoma"/>
          <w:color w:val="FF0000"/>
          <w:sz w:val="21"/>
          <w:szCs w:val="21"/>
        </w:rPr>
        <w:t xml:space="preserve"> terceira pode se tornar estável caso a outra parte não apresente recurso;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Style w:val="Forte"/>
          <w:rFonts w:ascii="Tahoma" w:hAnsi="Tahoma" w:cs="Tahoma"/>
          <w:color w:val="0000FF"/>
          <w:sz w:val="21"/>
          <w:szCs w:val="21"/>
        </w:rPr>
        <w:t>IV. Ação de consignação em pagamento proposta contra dois supostos credores, por não saber a quem se deve pagar.</w:t>
      </w:r>
    </w:p>
    <w:p w:rsidR="00B40FB1" w:rsidRDefault="00B40FB1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Style w:val="Forte"/>
          <w:rFonts w:ascii="Tahoma" w:hAnsi="Tahoma" w:cs="Tahoma"/>
          <w:color w:val="0000FF"/>
          <w:sz w:val="21"/>
          <w:szCs w:val="21"/>
        </w:rPr>
      </w:pPr>
      <w:proofErr w:type="spellStart"/>
      <w:proofErr w:type="gramStart"/>
      <w:r>
        <w:rPr>
          <w:rStyle w:val="Forte"/>
          <w:rFonts w:ascii="Tahoma" w:hAnsi="Tahoma" w:cs="Tahoma"/>
          <w:color w:val="0000FF"/>
          <w:sz w:val="21"/>
          <w:szCs w:val="21"/>
        </w:rPr>
        <w:t>a</w:t>
      </w:r>
      <w:proofErr w:type="spellEnd"/>
      <w:proofErr w:type="gramEnd"/>
      <w:r>
        <w:rPr>
          <w:rStyle w:val="Forte"/>
          <w:rFonts w:ascii="Tahoma" w:hAnsi="Tahoma" w:cs="Tahoma"/>
          <w:color w:val="0000FF"/>
          <w:sz w:val="21"/>
          <w:szCs w:val="21"/>
        </w:rPr>
        <w:t xml:space="preserve"> quarta, se trata de litisconsórcio passivo alternativo.</w:t>
      </w:r>
    </w:p>
    <w:p w:rsidR="00EF277A" w:rsidRDefault="00EF277A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Style w:val="Forte"/>
          <w:rFonts w:ascii="Tahoma" w:hAnsi="Tahoma" w:cs="Tahoma"/>
          <w:color w:val="0000FF"/>
          <w:sz w:val="21"/>
          <w:szCs w:val="21"/>
        </w:rPr>
      </w:pPr>
    </w:p>
    <w:p w:rsidR="00EF277A" w:rsidRDefault="00EF277A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Style w:val="Forte"/>
          <w:rFonts w:ascii="Tahoma" w:hAnsi="Tahoma" w:cs="Tahoma"/>
          <w:color w:val="0000FF"/>
          <w:sz w:val="21"/>
          <w:szCs w:val="21"/>
        </w:rPr>
      </w:pP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Ano: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2016</w:t>
      </w: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Banca: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FCC</w:t>
      </w: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Órgão: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DPE-BA</w:t>
      </w:r>
    </w:p>
    <w:p w:rsidR="00EF277A" w:rsidRPr="00EF277A" w:rsidRDefault="00EF277A" w:rsidP="00EF277A">
      <w:pPr>
        <w:spacing w:after="0" w:line="300" w:lineRule="atLeast"/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</w:pPr>
      <w:r w:rsidRPr="00EF277A">
        <w:rPr>
          <w:rFonts w:ascii="Times New Roman" w:eastAsia="Times New Roman" w:hAnsi="Times New Roman" w:cs="Times New Roman"/>
          <w:b/>
          <w:bCs/>
          <w:color w:val="767676"/>
          <w:sz w:val="19"/>
          <w:szCs w:val="19"/>
          <w:lang w:eastAsia="pt-BR"/>
        </w:rPr>
        <w:t>Prova:</w:t>
      </w:r>
      <w:r w:rsidRPr="00EF277A">
        <w:rPr>
          <w:rFonts w:ascii="Times New Roman" w:eastAsia="Times New Roman" w:hAnsi="Times New Roman" w:cs="Times New Roman"/>
          <w:color w:val="767676"/>
          <w:sz w:val="19"/>
          <w:szCs w:val="19"/>
          <w:lang w:eastAsia="pt-BR"/>
        </w:rPr>
        <w:t> </w:t>
      </w:r>
      <w:hyperlink r:id="rId18" w:history="1">
        <w:r w:rsidRPr="00EF277A">
          <w:rPr>
            <w:rFonts w:ascii="Times New Roman" w:eastAsia="Times New Roman" w:hAnsi="Times New Roman" w:cs="Times New Roman"/>
            <w:color w:val="767676"/>
            <w:sz w:val="19"/>
            <w:szCs w:val="19"/>
            <w:u w:val="single"/>
            <w:lang w:eastAsia="pt-BR"/>
          </w:rPr>
          <w:t>Defensor Público</w:t>
        </w:r>
      </w:hyperlink>
    </w:p>
    <w:p w:rsidR="00EF277A" w:rsidRPr="00EF277A" w:rsidRDefault="00EF277A" w:rsidP="00EF277A">
      <w:pPr>
        <w:spacing w:after="0" w:line="336" w:lineRule="atLeast"/>
        <w:rPr>
          <w:rFonts w:ascii="Times New Roman" w:eastAsia="Times New Roman" w:hAnsi="Times New Roman" w:cs="Times New Roman"/>
          <w:color w:val="252525"/>
          <w:spacing w:val="5"/>
          <w:lang w:eastAsia="pt-BR"/>
        </w:rPr>
      </w:pPr>
      <w:r w:rsidRPr="00EF277A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t>Sobre a tutela de urgência:</w:t>
      </w:r>
    </w:p>
    <w:p w:rsidR="00EF277A" w:rsidRPr="00EF277A" w:rsidRDefault="00EF277A" w:rsidP="00EF27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F277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7.25pt" o:ole="">
            <v:imagedata r:id="rId6" o:title=""/>
          </v:shape>
          <w:control r:id="rId19" w:name="DefaultOcxName6" w:shapeid="_x0000_i1086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>a)A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 xml:space="preserve"> tutela cautelar concedida em caráter antecedente conserva sua eficácia ainda que o juiz extinga o processo sem resolução de mérito em razão de ausência de pressupostos processuais.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7.25pt" o:ole="">
            <v:imagedata r:id="rId6" o:title=""/>
          </v:shape>
          <w:control r:id="rId20" w:name="DefaultOcxName12" w:shapeid="_x0000_i1089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>b)No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 xml:space="preserve"> procedimento da tutela antecipada requerida em caráter antecedente, atendidos os requisitos legais, a parte pode se limitar a requerer tutela antecipada, aditando a inicial depois </w:t>
      </w:r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lastRenderedPageBreak/>
        <w:t>que concedida a medida, no prazo de 15 dias. Não realizado o aditamento nem interposto o respectivo recurso, o Juiz julgará antecipadamente a lide.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7.25pt" o:ole="">
            <v:imagedata r:id="rId6" o:title=""/>
          </v:shape>
          <w:control r:id="rId21" w:name="DefaultOcxName22" w:shapeid="_x0000_i1092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>c)Concedida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 xml:space="preserve"> tutela de urgência, se a sentença for desfavorável, a parte responderá pelo prejuízo decorrente da efetivação da medida, que será apurado, em regra, por meio de ação autônoma.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7.25pt" o:ole="">
            <v:imagedata r:id="rId6" o:title=""/>
          </v:shape>
          <w:control r:id="rId22" w:name="DefaultOcxName32" w:shapeid="_x0000_i1095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>d)No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 xml:space="preserve"> procedimento da tutela antecipada requerida em caráter antecedente, a decisão que concede a tutela faz coisa julgada, só podendo ser revista por meio de ação rescisória.</w:t>
      </w:r>
    </w:p>
    <w:p w:rsidR="00EF277A" w:rsidRPr="00EF277A" w:rsidRDefault="00EF277A" w:rsidP="00EF277A">
      <w:pPr>
        <w:spacing w:after="0" w:line="240" w:lineRule="auto"/>
        <w:rPr>
          <w:rFonts w:ascii="Times New Roman" w:eastAsia="Times New Roman" w:hAnsi="Times New Roman" w:cs="Times New Roman"/>
          <w:color w:val="525252"/>
          <w:lang w:eastAsia="pt-BR"/>
        </w:rPr>
      </w:pPr>
      <w:r w:rsidRPr="00EF277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7.25pt" o:ole="">
            <v:imagedata r:id="rId6" o:title=""/>
          </v:shape>
          <w:control r:id="rId23" w:name="DefaultOcxName42" w:shapeid="_x0000_i1098"/>
        </w:object>
      </w:r>
      <w:r w:rsidRPr="00EF27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>e)No</w:t>
      </w:r>
      <w:proofErr w:type="gramEnd"/>
      <w:r w:rsidRPr="00EF277A">
        <w:rPr>
          <w:rFonts w:ascii="Times New Roman" w:eastAsia="Times New Roman" w:hAnsi="Times New Roman" w:cs="Times New Roman"/>
          <w:color w:val="525252"/>
          <w:lang w:eastAsia="pt-BR"/>
        </w:rPr>
        <w:t xml:space="preserve"> procedimento da tutela antecipada requerida em caráter antecedente, atendidos os requisitos legais, a parte pode se limitar a requerer tutela antecipada, aditando a inicial depois que concedida a medida, no prazo de 15 dias ou em outro que fixar o juiz. Não realizado o aditamento nem interposto o respectivo recurso, a tutela se tornará estável e o processo será extinto.</w:t>
      </w:r>
    </w:p>
    <w:p w:rsidR="00EF277A" w:rsidRPr="00EF277A" w:rsidRDefault="00EF277A" w:rsidP="00EF27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EF277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F277A" w:rsidRDefault="00EF277A" w:rsidP="00B40FB1">
      <w:pPr>
        <w:pStyle w:val="NormalWeb"/>
        <w:shd w:val="clear" w:color="auto" w:fill="FFFBF9"/>
        <w:spacing w:before="0" w:beforeAutospacing="0" w:after="0" w:afterAutospacing="0" w:line="336" w:lineRule="atLeast"/>
        <w:rPr>
          <w:rFonts w:ascii="Tahoma" w:hAnsi="Tahoma" w:cs="Tahoma"/>
          <w:color w:val="666666"/>
          <w:sz w:val="21"/>
          <w:szCs w:val="21"/>
        </w:rPr>
      </w:pPr>
    </w:p>
    <w:p w:rsidR="00B40FB1" w:rsidRDefault="00EF277A">
      <w:r>
        <w:rPr>
          <w:rFonts w:ascii="Tahoma" w:eastAsia="Times New Roman" w:hAnsi="Tahoma" w:cs="Tahoma"/>
          <w:color w:val="525252"/>
          <w:lang w:eastAsia="pt-BR"/>
        </w:rPr>
        <w:t>GABARITO: E</w:t>
      </w:r>
    </w:p>
    <w:sectPr w:rsidR="00B40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12C36"/>
    <w:multiLevelType w:val="multilevel"/>
    <w:tmpl w:val="786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1"/>
    <w:rsid w:val="0036474D"/>
    <w:rsid w:val="00A84BA8"/>
    <w:rsid w:val="00B40FB1"/>
    <w:rsid w:val="00E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AA399FC1-9E9E-4F1D-9EA1-52AD3D52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40FB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0FB1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40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40FB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etra-alternativa">
    <w:name w:val="letra-alternativa"/>
    <w:basedOn w:val="Fontepargpadro"/>
    <w:rsid w:val="00B40FB1"/>
  </w:style>
  <w:style w:type="paragraph" w:styleId="NormalWeb">
    <w:name w:val="Normal (Web)"/>
    <w:basedOn w:val="Normal"/>
    <w:uiPriority w:val="99"/>
    <w:semiHidden/>
    <w:unhideWhenUsed/>
    <w:rsid w:val="00B4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tde-encontrados">
    <w:name w:val="qtde-encontrados"/>
    <w:basedOn w:val="Fontepargpadro"/>
    <w:rsid w:val="00EF277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F27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F277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ais-assunto">
    <w:name w:val="mais-assunto"/>
    <w:basedOn w:val="Fontepargpadro"/>
    <w:rsid w:val="00EF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0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98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23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88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4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078">
          <w:marLeft w:val="7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386">
                  <w:marLeft w:val="21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366">
                  <w:marLeft w:val="21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853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09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61896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430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83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09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3151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185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35828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6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98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94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13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8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8894">
                  <w:marLeft w:val="21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511">
                  <w:marLeft w:val="21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20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80854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7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3450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24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3313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93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6393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3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8824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06">
              <w:marLeft w:val="9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7949">
              <w:marLeft w:val="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2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74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01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85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04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482">
          <w:marLeft w:val="7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029">
                  <w:marLeft w:val="21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073">
                  <w:marLeft w:val="21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6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1109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0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49599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43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4747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087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3484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200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8156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hyperlink" Target="https://www.qconcursos.com/questoes-de-concursos/provas/fcc-2016-dpe-ba-defensor-publico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hyperlink" Target="https://www.qconcursos.com/questoes-de-concursos/provas/fcc-2016-dpe-es-defensor-publico" TargetMode="Externa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s://www.qconcursos.com/questoes-de-concursos/provas/fcc-2017-dpe-pr-defensor-publico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2018-05-23T21:50:00Z</dcterms:created>
  <dcterms:modified xsi:type="dcterms:W3CDTF">2018-05-23T21:50:00Z</dcterms:modified>
</cp:coreProperties>
</file>