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5D5" w:rsidRPr="008C75D5" w:rsidRDefault="008C75D5" w:rsidP="00D97BDD">
      <w:pPr>
        <w:spacing w:line="360" w:lineRule="auto"/>
        <w:jc w:val="both"/>
        <w:rPr>
          <w:rFonts w:ascii="Cambria" w:hAnsi="Cambria" w:cs="Arial"/>
          <w:b/>
        </w:rPr>
      </w:pPr>
      <w:bookmarkStart w:id="0" w:name="_GoBack"/>
      <w:bookmarkEnd w:id="0"/>
      <w:r w:rsidRPr="008C75D5">
        <w:rPr>
          <w:rFonts w:ascii="Cambria" w:hAnsi="Cambria" w:cs="Arial"/>
          <w:b/>
          <w:bCs/>
        </w:rPr>
        <w:t xml:space="preserve">Política Criminal Atuarial - A Criminologia do Fim da História, editora </w:t>
      </w:r>
      <w:proofErr w:type="spellStart"/>
      <w:r w:rsidRPr="008C75D5">
        <w:rPr>
          <w:rFonts w:ascii="Cambria" w:hAnsi="Cambria" w:cs="Arial"/>
          <w:b/>
          <w:bCs/>
        </w:rPr>
        <w:t>Revan</w:t>
      </w:r>
      <w:proofErr w:type="spellEnd"/>
      <w:r w:rsidRPr="008C75D5">
        <w:rPr>
          <w:rFonts w:ascii="Cambria" w:hAnsi="Cambria" w:cs="Arial"/>
          <w:b/>
          <w:bCs/>
        </w:rPr>
        <w:t>, Rio de Janeiro, 2013.</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
          <w:bCs/>
        </w:rPr>
        <w:t>Autor:</w:t>
      </w:r>
      <w:r w:rsidRPr="008C75D5">
        <w:rPr>
          <w:rFonts w:ascii="Cambria" w:hAnsi="Cambria" w:cs="Arial"/>
          <w:bCs/>
        </w:rPr>
        <w:t xml:space="preserve"> Maurício </w:t>
      </w:r>
      <w:proofErr w:type="spellStart"/>
      <w:r w:rsidRPr="008C75D5">
        <w:rPr>
          <w:rFonts w:ascii="Cambria" w:hAnsi="Cambria" w:cs="Arial"/>
          <w:bCs/>
        </w:rPr>
        <w:t>Stegemann</w:t>
      </w:r>
      <w:proofErr w:type="spellEnd"/>
      <w:r w:rsidRPr="008C75D5">
        <w:rPr>
          <w:rFonts w:ascii="Cambria" w:hAnsi="Cambria" w:cs="Arial"/>
          <w:bCs/>
        </w:rPr>
        <w:t xml:space="preserve"> </w:t>
      </w:r>
      <w:proofErr w:type="spellStart"/>
      <w:r w:rsidRPr="008C75D5">
        <w:rPr>
          <w:rFonts w:ascii="Cambria" w:hAnsi="Cambria" w:cs="Arial"/>
          <w:bCs/>
        </w:rPr>
        <w:t>Dieter</w:t>
      </w:r>
      <w:proofErr w:type="spellEnd"/>
      <w:r w:rsidRPr="008C75D5">
        <w:rPr>
          <w:rFonts w:ascii="Cambria" w:hAnsi="Cambria" w:cs="Arial"/>
          <w:bCs/>
        </w:rPr>
        <w:t xml:space="preserve"> (Professor Doutor de Criminologia da Faculdade de Direito da Universidade de São Paulo), </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Cs/>
        </w:rPr>
        <w:t>O tema sinaliza o fim da história da criminologia no sentido de uma criminologia que não tem mais nenhum compromisso com as determinações do crime, que não quer mais pesquisar os processos de criminalização, que parte da criminalidade como um fato para fazer a gestão eficiente da criminalidade.</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Cs/>
        </w:rPr>
        <w:t>O termo “criminologia atuarial” expressa uma criminologia impossível. O que existe é uma “Política Criminal Atuarial”, isto é, uma forma de se tentar reprimir, prevenir e tratar as consequências da criminalidade a partir da lógica atuarial.</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Cs/>
        </w:rPr>
        <w:t>O que é a lógica atuarial?</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Cs/>
        </w:rPr>
        <w:t xml:space="preserve">É a lógica da aplicação da estatística como critério de justiça. </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Cs/>
        </w:rPr>
        <w:t>Seria a importação de um critério de justiça usado pelas companhias de seguro para dentro do sistema de justiça criminal.</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Cs/>
        </w:rPr>
        <w:t>O que é a lógica atuarial?</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Cs/>
        </w:rPr>
        <w:t xml:space="preserve">É a lógica da aplicação da estatística como critério de justiça. </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Cs/>
        </w:rPr>
        <w:t>Seria a importação de um critério de justiça usado pelas companhias de seguro para dentro do sistema de justiça criminal.</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Cs/>
        </w:rPr>
        <w:t>Ilustração:</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Cs/>
        </w:rPr>
        <w:t>Se você tem 18 anos, é homem, dirige um carro esportivo, o prêmio pago pelo seguro será altíssimo.</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Cs/>
        </w:rPr>
        <w:lastRenderedPageBreak/>
        <w:t>Não importa se você é um excelente motorista, o fato é que você pertence a um grupo de risco.</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Em compensação, se mãe desse jovem tem 58 anos, mulher, dirige uma SUV (“Sport </w:t>
      </w:r>
      <w:proofErr w:type="spellStart"/>
      <w:r w:rsidRPr="008C75D5">
        <w:rPr>
          <w:rFonts w:ascii="Cambria" w:hAnsi="Cambria" w:cs="Arial"/>
          <w:bCs/>
        </w:rPr>
        <w:t>Utility</w:t>
      </w:r>
      <w:proofErr w:type="spellEnd"/>
      <w:r w:rsidRPr="008C75D5">
        <w:rPr>
          <w:rFonts w:ascii="Cambria" w:hAnsi="Cambria" w:cs="Arial"/>
          <w:bCs/>
        </w:rPr>
        <w:t xml:space="preserve"> </w:t>
      </w:r>
      <w:proofErr w:type="spellStart"/>
      <w:r w:rsidRPr="008C75D5">
        <w:rPr>
          <w:rFonts w:ascii="Cambria" w:hAnsi="Cambria" w:cs="Arial"/>
          <w:bCs/>
        </w:rPr>
        <w:t>Vehicle</w:t>
      </w:r>
      <w:proofErr w:type="spellEnd"/>
      <w:r w:rsidRPr="008C75D5">
        <w:rPr>
          <w:rFonts w:ascii="Cambria" w:hAnsi="Cambria" w:cs="Arial"/>
          <w:bCs/>
        </w:rPr>
        <w:t>” – veículo utilitário esportivo), o prêmio será baixo e ela pode ser uma péssima motorista.</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Não é uma questão de mérito individual, não é uma questão do que você faz como condutor, é uma gestão do risco em razão do perfil de risco que você representa.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Cs/>
        </w:rPr>
        <w:t>Para penalista, isso soa como um resgate ao direito penal do autor, porque a pessoa não é punida pelo que ela fez, mas pelo perfil de risco que ela representa.</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Cs/>
        </w:rPr>
        <w:t>E a lógica atuarial, quando entra no sistema de justiça criminal, dá o tom do que vai ser o futuro do controle social nas sociedades capitalistas ocidentais:</w:t>
      </w:r>
    </w:p>
    <w:p w:rsidR="008C75D5" w:rsidRPr="008C75D5" w:rsidRDefault="008C75D5" w:rsidP="008C75D5">
      <w:pPr>
        <w:spacing w:line="360" w:lineRule="auto"/>
        <w:ind w:firstLine="1134"/>
        <w:jc w:val="both"/>
        <w:rPr>
          <w:rFonts w:ascii="Cambria" w:hAnsi="Cambria" w:cs="Arial"/>
        </w:rPr>
      </w:pPr>
    </w:p>
    <w:p w:rsidR="008C75D5" w:rsidRPr="008C75D5" w:rsidRDefault="008C75D5" w:rsidP="008C75D5">
      <w:pPr>
        <w:spacing w:line="360" w:lineRule="auto"/>
        <w:ind w:firstLine="1134"/>
        <w:jc w:val="both"/>
        <w:rPr>
          <w:rFonts w:ascii="Cambria" w:hAnsi="Cambria" w:cs="Arial"/>
        </w:rPr>
      </w:pPr>
      <w:r w:rsidRPr="008C75D5">
        <w:rPr>
          <w:rFonts w:ascii="Cambria" w:hAnsi="Cambria" w:cs="Arial"/>
          <w:bCs/>
        </w:rPr>
        <w:t>a) Há um absoluto desprezo normativo: os teóricos atuariais que hoje trabalham em todo o sistema de justiça norte-americana desprezam a culpabilidade, legalidade, lesividade, proporcionalidade...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b) Os critérios normativos são descritos por eles (sem constrangimentos) como “óbices operacionais à perfeita racionalização do sistema de justiça criminal”, ou seja, eles pensam o Direito Penal como “um entrave ao bom funcionamento automático do Sistema de Justiça Criminal”;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c) E nessa incorporação do que antes era definido como racismo, </w:t>
      </w:r>
      <w:proofErr w:type="spellStart"/>
      <w:r w:rsidRPr="008C75D5">
        <w:rPr>
          <w:rFonts w:ascii="Cambria" w:hAnsi="Cambria" w:cs="Arial"/>
          <w:bCs/>
        </w:rPr>
        <w:t>classismo</w:t>
      </w:r>
      <w:proofErr w:type="spellEnd"/>
      <w:r w:rsidRPr="008C75D5">
        <w:rPr>
          <w:rFonts w:ascii="Cambria" w:hAnsi="Cambria" w:cs="Arial"/>
          <w:bCs/>
        </w:rPr>
        <w:t xml:space="preserve">, </w:t>
      </w:r>
      <w:proofErr w:type="spellStart"/>
      <w:r w:rsidRPr="008C75D5">
        <w:rPr>
          <w:rFonts w:ascii="Cambria" w:hAnsi="Cambria" w:cs="Arial"/>
          <w:bCs/>
        </w:rPr>
        <w:t>sexismo</w:t>
      </w:r>
      <w:proofErr w:type="spellEnd"/>
      <w:r w:rsidRPr="008C75D5">
        <w:rPr>
          <w:rFonts w:ascii="Cambria" w:hAnsi="Cambria" w:cs="Arial"/>
          <w:bCs/>
        </w:rPr>
        <w:t>, são incorporados esses elementos como “fatores de risco” e assim perde-se a vergonha de dizer que são escolhidas pessoas para serem punidas em função desses estigmas, que detonam meta-regras punitivas. São oficializas meta-regras como fatores de risco no direcionamento do aparelho punitivo estatal.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Portanto, a ideia de conter a violência (estatal) no Estado Democrático de Direito mediante Direito Penal hoje, nos Estados Unidos, cai em progressivo desuso (cada </w:t>
      </w:r>
      <w:r w:rsidRPr="008C75D5">
        <w:rPr>
          <w:rFonts w:ascii="Cambria" w:hAnsi="Cambria" w:cs="Arial"/>
          <w:bCs/>
        </w:rPr>
        <w:lastRenderedPageBreak/>
        <w:t>vez menos se presta atenção aos entraves normativos na hora de se imputar responsabilidade a alguém).</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O que leva adiante esse movimento é a instilação do </w:t>
      </w:r>
      <w:r w:rsidRPr="008C75D5">
        <w:rPr>
          <w:rFonts w:ascii="Cambria" w:hAnsi="Cambria" w:cs="Arial"/>
          <w:bCs/>
          <w:u w:val="single"/>
        </w:rPr>
        <w:t>princípio da eficiência</w:t>
      </w:r>
      <w:r w:rsidRPr="008C75D5">
        <w:rPr>
          <w:rFonts w:ascii="Cambria" w:hAnsi="Cambria" w:cs="Arial"/>
          <w:bCs/>
        </w:rPr>
        <w:t xml:space="preserve"> na racionalidade burocrática, o que transforma a racionalidade burocrática em uma racionalidade tecnocrática.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Em outras palavras, a ideia de que os agentes de justiça criminal (polícia, Ministério Público, juízes, carcereiros, diretores de penitenciária) devem ser orientados pelo princípio da eficiência.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O princípio da eficiência consegue diminuir o apelo normativo especialmente no Brasil, onde que ele foi oficialmente incorporado à Constituição Federal (art. 37, </w:t>
      </w:r>
      <w:r w:rsidRPr="008C75D5">
        <w:rPr>
          <w:rFonts w:ascii="Cambria" w:hAnsi="Cambria" w:cs="Arial"/>
          <w:bCs/>
          <w:i/>
          <w:iCs/>
        </w:rPr>
        <w:t>caput</w:t>
      </w:r>
      <w:r w:rsidRPr="008C75D5">
        <w:rPr>
          <w:rFonts w:ascii="Cambria" w:hAnsi="Cambria" w:cs="Arial"/>
          <w:bCs/>
        </w:rPr>
        <w:t>) e deve orientar todas as políticas públicas, inclusive a política de segurança pública.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Dizem os teóricos atuariais que o Direito Penal não é uma forma eficiente de manter a criminalidade em um patamar relativamente estável.</w:t>
      </w: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Logo, não se apresenta mais uma “solução” para a questão criminal, mas apenas uma gestão da questão criminal.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Aceita-se o crime como um fato social, mas a ideia é que se tenha uma “quantidade razoável” de crime.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E os teóricos tecnocráticos dizem: “o direito penal não é capaz de uma gestão eficiente da criminalidade”.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“Gestão eficiente da criminalidade” só pode ser feita mediante aplicação da estatística, que define os critérios ótimos de controle social.</w:t>
      </w: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w:t>
      </w: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Isso expressa, segundo o professor Sebastião Scherer, uma tendência “</w:t>
      </w:r>
      <w:proofErr w:type="spellStart"/>
      <w:r w:rsidRPr="008C75D5">
        <w:rPr>
          <w:rFonts w:ascii="Cambria" w:hAnsi="Cambria" w:cs="Arial"/>
          <w:bCs/>
        </w:rPr>
        <w:t>gerencialista</w:t>
      </w:r>
      <w:proofErr w:type="spellEnd"/>
      <w:r w:rsidRPr="008C75D5">
        <w:rPr>
          <w:rFonts w:ascii="Cambria" w:hAnsi="Cambria" w:cs="Arial"/>
          <w:bCs/>
        </w:rPr>
        <w:t>” da política criminal contemporânea.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O professor diz que há 3 tendências da política criminal contemporânea: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1) Internacionalismo: há uma ingerência de tratados internacionais de “direitos humanos” (Lei de Lavagem de Capitais – art. 9º: “</w:t>
      </w:r>
      <w:r w:rsidRPr="008C75D5">
        <w:rPr>
          <w:rFonts w:ascii="Cambria" w:hAnsi="Cambria" w:cs="Arial"/>
          <w:bCs/>
          <w:i/>
        </w:rPr>
        <w:t xml:space="preserve">sujeitam-se às obrigações referidas nos </w:t>
      </w:r>
      <w:proofErr w:type="spellStart"/>
      <w:r w:rsidRPr="008C75D5">
        <w:rPr>
          <w:rFonts w:ascii="Cambria" w:hAnsi="Cambria" w:cs="Arial"/>
          <w:bCs/>
          <w:i/>
        </w:rPr>
        <w:t>arts</w:t>
      </w:r>
      <w:proofErr w:type="spellEnd"/>
      <w:r w:rsidRPr="008C75D5">
        <w:rPr>
          <w:rFonts w:ascii="Cambria" w:hAnsi="Cambria" w:cs="Arial"/>
          <w:bCs/>
          <w:i/>
        </w:rPr>
        <w:t>. 10 e 11 as pessoas físicas e jurídicas que tenham, em caráter permanente ou eventual,</w:t>
      </w:r>
      <w:r w:rsidRPr="008C75D5">
        <w:rPr>
          <w:rFonts w:ascii="Cambria" w:eastAsia="MS PGothic" w:hAnsi="Cambria" w:cs="Arial"/>
          <w:bCs/>
          <w:i/>
          <w:color w:val="000000" w:themeColor="text1"/>
          <w:kern w:val="24"/>
        </w:rPr>
        <w:t xml:space="preserve"> </w:t>
      </w:r>
      <w:r w:rsidRPr="008C75D5">
        <w:rPr>
          <w:rFonts w:ascii="Cambria" w:hAnsi="Cambria" w:cs="Arial"/>
          <w:bCs/>
          <w:i/>
        </w:rPr>
        <w:t>como atividade principal ou acessória, cumulativamente ou não: (Redação dada pela Lei nº 12.683, de 2012) XIV - as pessoas físicas ou jurídicas que prestem, mesmo que eventualmente, serviços de assessoria, consultoria, contadoria, auditoria, aconselhamento ou assistência, de qualquer natureza,</w:t>
      </w:r>
      <w:r w:rsidRPr="008C75D5">
        <w:rPr>
          <w:rFonts w:ascii="Cambria" w:eastAsia="MS PGothic" w:hAnsi="Cambria" w:cs="Arial"/>
          <w:bCs/>
          <w:i/>
          <w:color w:val="000000" w:themeColor="text1"/>
          <w:kern w:val="24"/>
        </w:rPr>
        <w:t xml:space="preserve"> </w:t>
      </w:r>
      <w:r w:rsidRPr="008C75D5">
        <w:rPr>
          <w:rFonts w:ascii="Cambria" w:hAnsi="Cambria" w:cs="Arial"/>
          <w:bCs/>
          <w:i/>
        </w:rPr>
        <w:t>em operações: (Incluído pela Lei nº 12.683, de 2012)</w:t>
      </w:r>
      <w:r w:rsidRPr="008C75D5">
        <w:rPr>
          <w:rFonts w:ascii="Cambria" w:hAnsi="Cambria" w:cs="Arial"/>
          <w:bCs/>
        </w:rPr>
        <w:t>” – margem para violação do dever de confidencialidade cliente/advogado.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 Sintoma do internacionalismo, dos interesses </w:t>
      </w:r>
      <w:proofErr w:type="spellStart"/>
      <w:r w:rsidRPr="008C75D5">
        <w:rPr>
          <w:rFonts w:ascii="Cambria" w:hAnsi="Cambria" w:cs="Arial"/>
          <w:bCs/>
        </w:rPr>
        <w:t>punitivistas</w:t>
      </w:r>
      <w:proofErr w:type="spellEnd"/>
      <w:r w:rsidRPr="008C75D5">
        <w:rPr>
          <w:rFonts w:ascii="Cambria" w:hAnsi="Cambria" w:cs="Arial"/>
          <w:bCs/>
        </w:rPr>
        <w:t xml:space="preserve"> do centro do poder econômico global em países periféricos;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2) Populismo: que apela para o medo coletivo, para as ameaças indefinidas de “crime organizado” (ameaça latente e permanente que é difícil identificar onde está), “terrorismo” (“fantasma” contemporâneo), e seu uso é feito para violar direitos fundamentais a pretexto de protegê-los (lógica de exceção);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3) </w:t>
      </w:r>
      <w:proofErr w:type="spellStart"/>
      <w:r w:rsidRPr="008C75D5">
        <w:rPr>
          <w:rFonts w:ascii="Cambria" w:hAnsi="Cambria" w:cs="Arial"/>
          <w:bCs/>
        </w:rPr>
        <w:t>Gerencialismo</w:t>
      </w:r>
      <w:proofErr w:type="spellEnd"/>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 política criminal atuarial é a expressão mais forte dessa tendência </w:t>
      </w:r>
      <w:proofErr w:type="spellStart"/>
      <w:r w:rsidRPr="008C75D5">
        <w:rPr>
          <w:rFonts w:ascii="Cambria" w:hAnsi="Cambria" w:cs="Arial"/>
          <w:bCs/>
        </w:rPr>
        <w:t>gerencialista</w:t>
      </w:r>
      <w:proofErr w:type="spellEnd"/>
      <w:r w:rsidRPr="008C75D5">
        <w:rPr>
          <w:rFonts w:ascii="Cambria" w:hAnsi="Cambria" w:cs="Arial"/>
          <w:bCs/>
        </w:rPr>
        <w:t xml:space="preserve"> servindo o populismo para resolver os déficits de legitimidade dessa punição.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Ou seja, o dia a dia é feito com </w:t>
      </w:r>
      <w:proofErr w:type="spellStart"/>
      <w:r w:rsidRPr="008C75D5">
        <w:rPr>
          <w:rFonts w:ascii="Cambria" w:hAnsi="Cambria" w:cs="Arial"/>
          <w:bCs/>
        </w:rPr>
        <w:t>gerencialismo</w:t>
      </w:r>
      <w:proofErr w:type="spellEnd"/>
      <w:r w:rsidRPr="008C75D5">
        <w:rPr>
          <w:rFonts w:ascii="Cambria" w:hAnsi="Cambria" w:cs="Arial"/>
          <w:bCs/>
        </w:rPr>
        <w:t xml:space="preserve"> e para os casos mais graves apela ao populismo e o internacionalismo serve como uma forma de contenção da repressão nos estados capitalistas ocidentais como uma maneira de estabilizar essa repressão de uma maneira geral.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Por isso se diz que a política criminal atuarial é criminologia do fim da história.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 remissão é feita ao artigo publicado em fins de 1989 com o título de "O fim da história" e, posteriormente, em 1992, com a obra "O fim da história e o último homem", ambos de Francis </w:t>
      </w:r>
      <w:proofErr w:type="spellStart"/>
      <w:r w:rsidRPr="008C75D5">
        <w:rPr>
          <w:rFonts w:ascii="Cambria" w:hAnsi="Cambria" w:cs="Arial"/>
          <w:bCs/>
        </w:rPr>
        <w:t>Fukuyama</w:t>
      </w:r>
      <w:proofErr w:type="spellEnd"/>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Depois da queda do Muro de Berlim, não haveria mais história: após a queda do fascismo e do socialismo, não haveria mais “luta de classes” e haveria um consenso de que o capitalismo com </w:t>
      </w:r>
      <w:r w:rsidRPr="008C75D5">
        <w:rPr>
          <w:rFonts w:ascii="Cambria" w:hAnsi="Cambria" w:cs="Arial"/>
          <w:bCs/>
          <w:u w:val="single"/>
        </w:rPr>
        <w:t>democracia formal</w:t>
      </w:r>
      <w:r w:rsidRPr="008C75D5">
        <w:rPr>
          <w:rFonts w:ascii="Cambria" w:hAnsi="Cambria" w:cs="Arial"/>
          <w:bCs/>
        </w:rPr>
        <w:t xml:space="preserve"> e mercados livres regulados pelo Estado de maneira distante seriam o máximo que a humanidade poderia chegar numa escala evolutiva.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u w:val="single"/>
        </w:rPr>
      </w:pPr>
      <w:r w:rsidRPr="008C75D5">
        <w:rPr>
          <w:rFonts w:ascii="Cambria" w:hAnsi="Cambria" w:cs="Arial"/>
          <w:bCs/>
        </w:rPr>
        <w:t xml:space="preserve">Para aqueles que não concordam que a história acabou, mas que a história pertence aos povos e nós a fazemos todos os dias, colocar essa provocação de que a política criminal atuarial é criminologia do fim da história significa </w:t>
      </w:r>
      <w:r w:rsidRPr="008C75D5">
        <w:rPr>
          <w:rFonts w:ascii="Cambria" w:hAnsi="Cambria" w:cs="Arial"/>
          <w:bCs/>
          <w:u w:val="single"/>
        </w:rPr>
        <w:t>denunciar que hoje conseguiu se ultrapassar aquelas garantias históricas que limitavam o exercício da (...) violência para aderir à lógica tecnocrática (e que a política criminal atuarial é o ápice da razão cínica nesse sentido da destruição dos direitos fundamentais).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Nos EUA o processo é bastante extenso: inicia-se desde a década de 30 do século XX.</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O professor Ernest </w:t>
      </w:r>
      <w:proofErr w:type="spellStart"/>
      <w:r w:rsidRPr="008C75D5">
        <w:rPr>
          <w:rFonts w:ascii="Cambria" w:hAnsi="Cambria" w:cs="Arial"/>
          <w:bCs/>
        </w:rPr>
        <w:t>Burgues</w:t>
      </w:r>
      <w:proofErr w:type="spellEnd"/>
      <w:r w:rsidRPr="008C75D5">
        <w:rPr>
          <w:rFonts w:ascii="Cambria" w:hAnsi="Cambria" w:cs="Arial"/>
          <w:bCs/>
        </w:rPr>
        <w:t xml:space="preserve"> da Universidade de Chicago constituiu o primeiro instrumento atuarial.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O que é um instrumento atuarial?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É um instrumento de verificação de risco: ele analisa o perfil de qualquer pessoa e calcula o risco que cada um representa para uma determinada ação (mediante fatores pré-determinados).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Esse primeiro instrumento da década de foi chamado </w:t>
      </w:r>
      <w:proofErr w:type="spellStart"/>
      <w:r w:rsidRPr="008C75D5">
        <w:rPr>
          <w:rFonts w:ascii="Cambria" w:hAnsi="Cambria" w:cs="Arial"/>
          <w:bCs/>
          <w:i/>
          <w:iCs/>
        </w:rPr>
        <w:t>prognasio</w:t>
      </w:r>
      <w:proofErr w:type="spellEnd"/>
      <w:r w:rsidRPr="008C75D5">
        <w:rPr>
          <w:rFonts w:ascii="Cambria" w:hAnsi="Cambria" w:cs="Arial"/>
          <w:bCs/>
          <w:i/>
          <w:iCs/>
        </w:rPr>
        <w:t xml:space="preserve"> </w:t>
      </w:r>
      <w:r w:rsidRPr="008C75D5">
        <w:rPr>
          <w:rFonts w:ascii="Cambria" w:hAnsi="Cambria" w:cs="Arial"/>
          <w:bCs/>
        </w:rPr>
        <w:t>e fundou uma escola em Chicago na busca de instrumentos atuariais que melhor verificassem o risco individual.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O exame do </w:t>
      </w:r>
      <w:proofErr w:type="spellStart"/>
      <w:r w:rsidRPr="008C75D5">
        <w:rPr>
          <w:rFonts w:ascii="Cambria" w:hAnsi="Cambria" w:cs="Arial"/>
          <w:bCs/>
          <w:i/>
          <w:iCs/>
        </w:rPr>
        <w:t>prognasio</w:t>
      </w:r>
      <w:proofErr w:type="spellEnd"/>
      <w:r w:rsidRPr="008C75D5">
        <w:rPr>
          <w:rFonts w:ascii="Cambria" w:hAnsi="Cambria" w:cs="Arial"/>
          <w:bCs/>
          <w:i/>
          <w:iCs/>
        </w:rPr>
        <w:t xml:space="preserve"> </w:t>
      </w:r>
      <w:r w:rsidRPr="008C75D5">
        <w:rPr>
          <w:rFonts w:ascii="Cambria" w:hAnsi="Cambria" w:cs="Arial"/>
          <w:bCs/>
        </w:rPr>
        <w:t xml:space="preserve">contava com 21 fatores, entre eles alcoolismo, dependência de drogas, raça (ser negro nos EUA sempre é um fator de risco para a criminalidade – isso é assumido sem constrangimento, parece que é uma justiça </w:t>
      </w:r>
      <w:r w:rsidRPr="008C75D5">
        <w:rPr>
          <w:rFonts w:ascii="Cambria" w:hAnsi="Cambria" w:cs="Arial"/>
          <w:bCs/>
        </w:rPr>
        <w:lastRenderedPageBreak/>
        <w:t>impessoal que não se envolve em questões éticas ou morais, pelo menos pretende fazer isso mediante retórica do risco e esse é o ponto preocupante).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Critérios mais frequentes de perfis de risco: sub ou desemprego, raça, nacionalidade, uso ou dependência de drogas ilícitas, baixa escolaridade, pouca idade, relações familiares conflituosas, comportamento sexual desviante ou promíscuo.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Tal instrumento reunia fatores e eram usados por comissões de técnicos para a concessão do que seria o equivalente ao Livramento Condicional (</w:t>
      </w:r>
      <w:r w:rsidRPr="008C75D5">
        <w:rPr>
          <w:rFonts w:ascii="Cambria" w:hAnsi="Cambria" w:cs="Arial"/>
          <w:bCs/>
          <w:i/>
          <w:iCs/>
        </w:rPr>
        <w:t xml:space="preserve">parole, </w:t>
      </w:r>
      <w:proofErr w:type="spellStart"/>
      <w:r w:rsidRPr="008C75D5">
        <w:rPr>
          <w:rFonts w:ascii="Cambria" w:hAnsi="Cambria" w:cs="Arial"/>
          <w:bCs/>
          <w:i/>
          <w:iCs/>
        </w:rPr>
        <w:t>probation</w:t>
      </w:r>
      <w:proofErr w:type="spellEnd"/>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Na primeira metade do século XX, boa parte dos estados norte-americanos adotava o sistema da indeterminação das penas por conta da crítica positivista.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O juiz condenava alguém, mas a data em que pessoa iria sair da penitenciária ficava a cargo dos técnicos do poder responsáveis pela “ortopedia moral” do sujeito. Como havia um receio de soltar quem ainda poderia ser considerado “perigoso”, eles submetiam o sujeito a um teste atuarial e conforme o resultado dos fatores de risco eles mantinham ou não o sujeito na prisão.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 isso permitiu operacionalizar essas comissões.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Portanto, a lógica atuarial surgiu no sistema de justiça criminal norte-americano num primeiro momento dentro da execução penal para racionalizar a disciplina carcerária e a entrada e saída de presos.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Mas como lógica totalitária que é, ela vai buscar via </w:t>
      </w:r>
      <w:proofErr w:type="spellStart"/>
      <w:r w:rsidRPr="008C75D5">
        <w:rPr>
          <w:rFonts w:ascii="Cambria" w:hAnsi="Cambria" w:cs="Arial"/>
          <w:bCs/>
        </w:rPr>
        <w:t>administrativização</w:t>
      </w:r>
      <w:proofErr w:type="spellEnd"/>
      <w:r w:rsidRPr="008C75D5">
        <w:rPr>
          <w:rFonts w:ascii="Cambria" w:hAnsi="Cambria" w:cs="Arial"/>
          <w:bCs/>
        </w:rPr>
        <w:t xml:space="preserve"> do Direito Penal a colonização da racionalidade instrumental de todos os agentes do sistema de justiça criminal (ou seja, vai se expandir para os processos de investigação, seleção, acusação, condenação, </w:t>
      </w:r>
      <w:proofErr w:type="spellStart"/>
      <w:r w:rsidRPr="008C75D5">
        <w:rPr>
          <w:rFonts w:ascii="Cambria" w:hAnsi="Cambria" w:cs="Arial"/>
          <w:bCs/>
          <w:i/>
          <w:iCs/>
        </w:rPr>
        <w:t>plea</w:t>
      </w:r>
      <w:proofErr w:type="spellEnd"/>
      <w:r w:rsidRPr="008C75D5">
        <w:rPr>
          <w:rFonts w:ascii="Cambria" w:hAnsi="Cambria" w:cs="Arial"/>
          <w:bCs/>
          <w:i/>
          <w:iCs/>
        </w:rPr>
        <w:t xml:space="preserve"> </w:t>
      </w:r>
      <w:proofErr w:type="spellStart"/>
      <w:r w:rsidRPr="008C75D5">
        <w:rPr>
          <w:rFonts w:ascii="Cambria" w:hAnsi="Cambria" w:cs="Arial"/>
          <w:bCs/>
          <w:i/>
          <w:iCs/>
        </w:rPr>
        <w:t>bargaining</w:t>
      </w:r>
      <w:proofErr w:type="spellEnd"/>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E isso é um processo e expansão que coincide com o processo de </w:t>
      </w:r>
      <w:r w:rsidRPr="008C75D5">
        <w:rPr>
          <w:rFonts w:ascii="Cambria" w:hAnsi="Cambria" w:cs="Arial"/>
          <w:bCs/>
          <w:u w:val="single"/>
        </w:rPr>
        <w:t>decadência das funções de prevenção especial positiva da pena nos EUA</w:t>
      </w: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Na década de 70, os teóricos estadunidenses, especialmente a partir de um artigo de Robert Martinson (</w:t>
      </w:r>
      <w:proofErr w:type="spellStart"/>
      <w:r w:rsidRPr="008C75D5">
        <w:rPr>
          <w:rFonts w:ascii="Cambria" w:hAnsi="Cambria" w:cs="Arial"/>
          <w:bCs/>
          <w:i/>
          <w:iCs/>
        </w:rPr>
        <w:t>What</w:t>
      </w:r>
      <w:proofErr w:type="spellEnd"/>
      <w:r w:rsidRPr="008C75D5">
        <w:rPr>
          <w:rFonts w:ascii="Cambria" w:hAnsi="Cambria" w:cs="Arial"/>
          <w:bCs/>
          <w:i/>
          <w:iCs/>
        </w:rPr>
        <w:t xml:space="preserve"> Works? </w:t>
      </w:r>
      <w:proofErr w:type="spellStart"/>
      <w:r w:rsidRPr="008C75D5">
        <w:rPr>
          <w:rFonts w:ascii="Cambria" w:hAnsi="Cambria" w:cs="Arial"/>
          <w:bCs/>
          <w:i/>
          <w:iCs/>
        </w:rPr>
        <w:t>Questions</w:t>
      </w:r>
      <w:proofErr w:type="spellEnd"/>
      <w:r w:rsidRPr="008C75D5">
        <w:rPr>
          <w:rFonts w:ascii="Cambria" w:hAnsi="Cambria" w:cs="Arial"/>
          <w:bCs/>
          <w:i/>
          <w:iCs/>
        </w:rPr>
        <w:t xml:space="preserve"> </w:t>
      </w:r>
      <w:proofErr w:type="spellStart"/>
      <w:r w:rsidRPr="008C75D5">
        <w:rPr>
          <w:rFonts w:ascii="Cambria" w:hAnsi="Cambria" w:cs="Arial"/>
          <w:bCs/>
          <w:i/>
          <w:iCs/>
        </w:rPr>
        <w:t>and</w:t>
      </w:r>
      <w:proofErr w:type="spellEnd"/>
      <w:r w:rsidRPr="008C75D5">
        <w:rPr>
          <w:rFonts w:ascii="Cambria" w:hAnsi="Cambria" w:cs="Arial"/>
          <w:bCs/>
          <w:i/>
          <w:iCs/>
        </w:rPr>
        <w:t xml:space="preserve"> </w:t>
      </w:r>
      <w:proofErr w:type="spellStart"/>
      <w:r w:rsidRPr="008C75D5">
        <w:rPr>
          <w:rFonts w:ascii="Cambria" w:hAnsi="Cambria" w:cs="Arial"/>
          <w:bCs/>
          <w:i/>
          <w:iCs/>
        </w:rPr>
        <w:t>answers</w:t>
      </w:r>
      <w:proofErr w:type="spellEnd"/>
      <w:r w:rsidRPr="008C75D5">
        <w:rPr>
          <w:rFonts w:ascii="Cambria" w:hAnsi="Cambria" w:cs="Arial"/>
          <w:bCs/>
          <w:i/>
          <w:iCs/>
        </w:rPr>
        <w:t xml:space="preserve"> </w:t>
      </w:r>
      <w:proofErr w:type="spellStart"/>
      <w:r w:rsidRPr="008C75D5">
        <w:rPr>
          <w:rFonts w:ascii="Cambria" w:hAnsi="Cambria" w:cs="Arial"/>
          <w:bCs/>
          <w:i/>
          <w:iCs/>
        </w:rPr>
        <w:t>about</w:t>
      </w:r>
      <w:proofErr w:type="spellEnd"/>
      <w:r w:rsidRPr="008C75D5">
        <w:rPr>
          <w:rFonts w:ascii="Cambria" w:hAnsi="Cambria" w:cs="Arial"/>
          <w:bCs/>
          <w:i/>
          <w:iCs/>
        </w:rPr>
        <w:t xml:space="preserve"> </w:t>
      </w:r>
      <w:proofErr w:type="spellStart"/>
      <w:r w:rsidRPr="008C75D5">
        <w:rPr>
          <w:rFonts w:ascii="Cambria" w:hAnsi="Cambria" w:cs="Arial"/>
          <w:bCs/>
          <w:i/>
          <w:iCs/>
        </w:rPr>
        <w:t>prison</w:t>
      </w:r>
      <w:proofErr w:type="spellEnd"/>
      <w:r w:rsidRPr="008C75D5">
        <w:rPr>
          <w:rFonts w:ascii="Cambria" w:hAnsi="Cambria" w:cs="Arial"/>
          <w:bCs/>
          <w:i/>
          <w:iCs/>
        </w:rPr>
        <w:t xml:space="preserve"> </w:t>
      </w:r>
      <w:proofErr w:type="spellStart"/>
      <w:r w:rsidRPr="008C75D5">
        <w:rPr>
          <w:rFonts w:ascii="Cambria" w:hAnsi="Cambria" w:cs="Arial"/>
          <w:bCs/>
          <w:i/>
          <w:iCs/>
        </w:rPr>
        <w:t>reform</w:t>
      </w:r>
      <w:proofErr w:type="spellEnd"/>
      <w:r w:rsidRPr="008C75D5">
        <w:rPr>
          <w:rFonts w:ascii="Cambria" w:hAnsi="Cambria" w:cs="Arial"/>
          <w:bCs/>
        </w:rPr>
        <w:t xml:space="preserve">, de 1974), concordam que </w:t>
      </w:r>
      <w:proofErr w:type="spellStart"/>
      <w:r w:rsidRPr="008C75D5">
        <w:rPr>
          <w:rFonts w:ascii="Cambria" w:hAnsi="Cambria" w:cs="Arial"/>
          <w:bCs/>
          <w:i/>
          <w:iCs/>
        </w:rPr>
        <w:t>nothing</w:t>
      </w:r>
      <w:proofErr w:type="spellEnd"/>
      <w:r w:rsidRPr="008C75D5">
        <w:rPr>
          <w:rFonts w:ascii="Cambria" w:hAnsi="Cambria" w:cs="Arial"/>
          <w:bCs/>
          <w:i/>
          <w:iCs/>
        </w:rPr>
        <w:t xml:space="preserve"> </w:t>
      </w:r>
      <w:proofErr w:type="spellStart"/>
      <w:r w:rsidRPr="008C75D5">
        <w:rPr>
          <w:rFonts w:ascii="Cambria" w:hAnsi="Cambria" w:cs="Arial"/>
          <w:bCs/>
          <w:i/>
          <w:iCs/>
        </w:rPr>
        <w:t>works</w:t>
      </w:r>
      <w:proofErr w:type="spellEnd"/>
      <w:r w:rsidRPr="008C75D5">
        <w:rPr>
          <w:rFonts w:ascii="Cambria" w:hAnsi="Cambria" w:cs="Arial"/>
          <w:bCs/>
        </w:rPr>
        <w:t>, ou seja, que nada funciona em termos de prevenção especial positiva (“ressocialização” para prevenir a reincidência).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No final da década de 70, essa crítica de “harmônica reintegração pela pena do condenado à vida em sociedade” coincida com a emergência do projeto neoliberal.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São processos concomitantes: emergência do projeto político neoliberal e decadência da função de prevenção especial positiva.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Se você desacredita a prisão para </w:t>
      </w:r>
      <w:proofErr w:type="spellStart"/>
      <w:r w:rsidRPr="008C75D5">
        <w:rPr>
          <w:rFonts w:ascii="Cambria" w:hAnsi="Cambria" w:cs="Arial"/>
          <w:bCs/>
        </w:rPr>
        <w:t>ressocializar</w:t>
      </w:r>
      <w:proofErr w:type="spellEnd"/>
      <w:r w:rsidRPr="008C75D5">
        <w:rPr>
          <w:rFonts w:ascii="Cambria" w:hAnsi="Cambria" w:cs="Arial"/>
          <w:bCs/>
        </w:rPr>
        <w:t xml:space="preserve"> alguém, parece não sobrar muito a justificativa para a prisão, exceto a “retribuição da culpabilidade” (a não ser que se apele para uma teoria simbólica ou para uma teoria que possa instrumentalizar o Direito Penal como uma forma de controle social mais amplo – direito penal do inimigo).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 decadência da função especial positiva leva ao anacronismo da prisão. Se nada funciona, “vamos abolir a penitenciária”.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É claro que isso não estava na pauta dos tecnocratas.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Logo, há uma perversa troca, do ideal de prevenção especial positiva para um </w:t>
      </w:r>
      <w:r w:rsidRPr="008C75D5">
        <w:rPr>
          <w:rFonts w:ascii="Cambria" w:hAnsi="Cambria" w:cs="Arial"/>
          <w:bCs/>
          <w:u w:val="single"/>
        </w:rPr>
        <w:t>ideal de incapacitação</w:t>
      </w: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Em pleno século XX, os teóricos da política criminal norte-americana voltam a defender que “a prisão só serve para prender”, que ninguém vai ser </w:t>
      </w:r>
      <w:proofErr w:type="spellStart"/>
      <w:r w:rsidRPr="008C75D5">
        <w:rPr>
          <w:rFonts w:ascii="Cambria" w:hAnsi="Cambria" w:cs="Arial"/>
          <w:bCs/>
        </w:rPr>
        <w:t>ressocializado</w:t>
      </w:r>
      <w:proofErr w:type="spellEnd"/>
      <w:r w:rsidRPr="008C75D5">
        <w:rPr>
          <w:rFonts w:ascii="Cambria" w:hAnsi="Cambria" w:cs="Arial"/>
          <w:bCs/>
        </w:rPr>
        <w:t xml:space="preserve"> pela prisão, que a prisão não estabiliza nenhum valor social, que a prisão não retribui a culpabilidade, a </w:t>
      </w:r>
      <w:r w:rsidRPr="008C75D5">
        <w:rPr>
          <w:rFonts w:ascii="Cambria" w:hAnsi="Cambria" w:cs="Arial"/>
          <w:bCs/>
          <w:u w:val="single"/>
        </w:rPr>
        <w:t>prisão serve para prender e só</w:t>
      </w: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Se a prisão só serve para prender, então se poderia desistir dos caros programas de terapia, de educação, pedagogia, de lazer etc., os ortopedistas morais saem da penitenciária e a penitenciária é reestruturada em torno de um princípio chamado “</w:t>
      </w:r>
      <w:proofErr w:type="spellStart"/>
      <w:r w:rsidRPr="008C75D5">
        <w:rPr>
          <w:rFonts w:ascii="Cambria" w:hAnsi="Cambria" w:cs="Arial"/>
          <w:bCs/>
          <w:i/>
          <w:iCs/>
        </w:rPr>
        <w:t>Warehousing</w:t>
      </w:r>
      <w:proofErr w:type="spellEnd"/>
      <w:r w:rsidRPr="008C75D5">
        <w:rPr>
          <w:rFonts w:ascii="Cambria" w:hAnsi="Cambria" w:cs="Arial"/>
          <w:bCs/>
        </w:rPr>
        <w:t>” (armazenamento), ou seja, pensar a penitenciária como um “depósito de seres humanos” – os mais perigosos na prateleira ao fundo, para que não saiam tão cedo).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As celas voltam a ser individuais, acabam os espaços coletivos porque o encontro entre presos e de presos com familiares ou pessoas de fora é visto como a origem de todo o conflito.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Essa lógica é chamada de “</w:t>
      </w:r>
      <w:proofErr w:type="spellStart"/>
      <w:r w:rsidRPr="008C75D5">
        <w:rPr>
          <w:rFonts w:ascii="Cambria" w:hAnsi="Cambria" w:cs="Arial"/>
          <w:bCs/>
          <w:i/>
          <w:iCs/>
        </w:rPr>
        <w:t>inmate</w:t>
      </w:r>
      <w:proofErr w:type="spellEnd"/>
      <w:r w:rsidRPr="008C75D5">
        <w:rPr>
          <w:rFonts w:ascii="Cambria" w:hAnsi="Cambria" w:cs="Arial"/>
          <w:bCs/>
          <w:i/>
          <w:iCs/>
        </w:rPr>
        <w:t xml:space="preserve"> management</w:t>
      </w:r>
      <w:r w:rsidRPr="008C75D5">
        <w:rPr>
          <w:rFonts w:ascii="Cambria" w:hAnsi="Cambria" w:cs="Arial"/>
          <w:bCs/>
        </w:rPr>
        <w:t xml:space="preserve">”, ou seja, o </w:t>
      </w:r>
      <w:proofErr w:type="spellStart"/>
      <w:r w:rsidRPr="008C75D5">
        <w:rPr>
          <w:rFonts w:ascii="Cambria" w:hAnsi="Cambria" w:cs="Arial"/>
          <w:bCs/>
        </w:rPr>
        <w:t>gerencialismo</w:t>
      </w:r>
      <w:proofErr w:type="spellEnd"/>
      <w:r w:rsidRPr="008C75D5">
        <w:rPr>
          <w:rFonts w:ascii="Cambria" w:hAnsi="Cambria" w:cs="Arial"/>
          <w:bCs/>
        </w:rPr>
        <w:t xml:space="preserve"> dos condenados, prova-se eficiente em termos de diminuição de conflitos na prisão dentro da prisão.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 a decadência da ressocialização e a valorização da incapacitação enfrentam um único óbice: se a prisão apenas serve para prender, que ao menos ela seja seletiva.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Retorna-se com a ideia de “grande confinamento” (à luz da ideia dos campos de concentração, dos </w:t>
      </w:r>
      <w:proofErr w:type="spellStart"/>
      <w:r w:rsidRPr="008C75D5">
        <w:rPr>
          <w:rFonts w:ascii="Cambria" w:hAnsi="Cambria" w:cs="Arial"/>
          <w:bCs/>
        </w:rPr>
        <w:t>Gulags</w:t>
      </w:r>
      <w:proofErr w:type="spellEnd"/>
      <w:r w:rsidRPr="008C75D5">
        <w:rPr>
          <w:rFonts w:ascii="Cambria" w:hAnsi="Cambria" w:cs="Arial"/>
          <w:bCs/>
        </w:rPr>
        <w:t xml:space="preserve"> – sistemas de trabalhos forçados na URSS), de um encarceramento em massa como ato desumano, só que com a desculpa de não ser uma incapacitação ampla, mas seletiva.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Para os tecnocratas isso significa o seguinte: nós vamos pegar os criminosos todos (aqueles que foram pegos pelos processos de criminalização), vamos submetê-los a testes atuariais.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Aqueles que tiverem elevado índice de risco de reincidência (perfil de alto risco), esses vão para a penitenciária.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Então, surge uma grande corrida entre os teóricos para provar que existem essas pessoas perigosas e incorrigíveis dentro daquilo que chama de “criminosos”.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 lógica atuarial, portanto, faz uma distinção: existe o total de criminosos (que são os apanhados pelos processos de criminalização), grupo é submetido a cálculos atuariais (testes de risco) e os que indicarem alto risco de reincidência vão direto para a penitenciária.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 questão a saber é o que define o alto risco de reincidência de alguém?</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Teóricos que trabalharam nesse sentido procuraram saber quem são os “reincidentes crônicos” (quem eram essas pessoas “incorrigíveis”, que tem um perfil de alto risco E é claro que uma pesquisa dirigida para identificar pessoas perigosas encontra as pessoas perigosas que procura.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 eles identificaram essas pessoas como “predadores sociais” e “predadores sexuais”.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Foram, então, atrás do perfil de alto risco, identificaram os fatores de risco dessas pessoas e as definiram como “predadores sociais” e “predadores sexuais”.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Esse perfil de risco vira uma tabela atuarial e agora toda pessoa nos EUA é submetida em diferentes etapas do processo de criminalização a um instrumento que verifica o seu risco.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 lógica </w:t>
      </w:r>
      <w:proofErr w:type="spellStart"/>
      <w:r w:rsidRPr="008C75D5">
        <w:rPr>
          <w:rFonts w:ascii="Cambria" w:hAnsi="Cambria" w:cs="Arial"/>
          <w:bCs/>
        </w:rPr>
        <w:t>prevencionista</w:t>
      </w:r>
      <w:proofErr w:type="spellEnd"/>
      <w:r w:rsidRPr="008C75D5">
        <w:rPr>
          <w:rFonts w:ascii="Cambria" w:hAnsi="Cambria" w:cs="Arial"/>
          <w:bCs/>
        </w:rPr>
        <w:t xml:space="preserve"> desse método (que pressupõe que você pode acabar com o crime mediante redução do risco) se articula por todos os espaços sociais (condomínios em que pessoas com perfil de risco não entra; exame atuarial antes do casamento) – todas as áreas são racionalizadas por esse critério do risco, especialmente a criminal.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Como entendem possível antecipar os fatores de risco e há uma busca incessante por fatores de risco especialmente os objetivos (estáticos, estáveis, permanentes no tempo) como raça, etnia, gênero, sexo, chegou-se a um tal ponto que </w:t>
      </w:r>
      <w:proofErr w:type="spellStart"/>
      <w:r w:rsidRPr="008C75D5">
        <w:rPr>
          <w:rFonts w:ascii="Cambria" w:hAnsi="Cambria" w:cs="Arial"/>
          <w:bCs/>
        </w:rPr>
        <w:t>Terrie</w:t>
      </w:r>
      <w:proofErr w:type="spellEnd"/>
      <w:r w:rsidRPr="008C75D5">
        <w:rPr>
          <w:rFonts w:ascii="Cambria" w:hAnsi="Cambria" w:cs="Arial"/>
          <w:bCs/>
        </w:rPr>
        <w:t xml:space="preserve"> </w:t>
      </w:r>
      <w:proofErr w:type="spellStart"/>
      <w:r w:rsidRPr="008C75D5">
        <w:rPr>
          <w:rFonts w:ascii="Cambria" w:hAnsi="Cambria" w:cs="Arial"/>
          <w:bCs/>
        </w:rPr>
        <w:t>Moffitt</w:t>
      </w:r>
      <w:proofErr w:type="spellEnd"/>
      <w:r w:rsidRPr="008C75D5">
        <w:rPr>
          <w:rFonts w:ascii="Cambria" w:hAnsi="Cambria" w:cs="Arial"/>
          <w:bCs/>
        </w:rPr>
        <w:t xml:space="preserve">, </w:t>
      </w:r>
      <w:proofErr w:type="spellStart"/>
      <w:r w:rsidRPr="008C75D5">
        <w:rPr>
          <w:rFonts w:ascii="Cambria" w:hAnsi="Cambria" w:cs="Arial"/>
          <w:bCs/>
        </w:rPr>
        <w:t>criminóloga</w:t>
      </w:r>
      <w:proofErr w:type="spellEnd"/>
      <w:r w:rsidRPr="008C75D5">
        <w:rPr>
          <w:rFonts w:ascii="Cambria" w:hAnsi="Cambria" w:cs="Arial"/>
          <w:bCs/>
        </w:rPr>
        <w:t xml:space="preserve"> alemã, e </w:t>
      </w:r>
      <w:proofErr w:type="spellStart"/>
      <w:r w:rsidRPr="008C75D5">
        <w:rPr>
          <w:rFonts w:ascii="Cambria" w:hAnsi="Cambria" w:cs="Arial"/>
          <w:bCs/>
        </w:rPr>
        <w:t>Avshalom</w:t>
      </w:r>
      <w:proofErr w:type="spellEnd"/>
      <w:r w:rsidRPr="008C75D5">
        <w:rPr>
          <w:rFonts w:ascii="Cambria" w:hAnsi="Cambria" w:cs="Arial"/>
          <w:bCs/>
        </w:rPr>
        <w:t xml:space="preserve"> </w:t>
      </w:r>
      <w:proofErr w:type="spellStart"/>
      <w:r w:rsidRPr="008C75D5">
        <w:rPr>
          <w:rFonts w:ascii="Cambria" w:hAnsi="Cambria" w:cs="Arial"/>
          <w:bCs/>
        </w:rPr>
        <w:t>Caspi</w:t>
      </w:r>
      <w:proofErr w:type="spellEnd"/>
      <w:r w:rsidRPr="008C75D5">
        <w:rPr>
          <w:rFonts w:ascii="Cambria" w:hAnsi="Cambria" w:cs="Arial"/>
          <w:bCs/>
        </w:rPr>
        <w:t xml:space="preserve"> defendem que você pode antecipar o risco de alguém ser criminoso aos 4 anos idade (o que equivale a você receber o boletim do seu filho e descobrir que ele é </w:t>
      </w:r>
      <w:r w:rsidRPr="008C75D5">
        <w:rPr>
          <w:rFonts w:ascii="Cambria" w:hAnsi="Cambria" w:cs="Arial"/>
          <w:bCs/>
          <w:i/>
          <w:iCs/>
        </w:rPr>
        <w:t>bebê de Rosemary</w:t>
      </w: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Segundo </w:t>
      </w:r>
      <w:proofErr w:type="spellStart"/>
      <w:r w:rsidRPr="008C75D5">
        <w:rPr>
          <w:rFonts w:ascii="Cambria" w:hAnsi="Cambria" w:cs="Arial"/>
          <w:bCs/>
        </w:rPr>
        <w:t>Terrie</w:t>
      </w:r>
      <w:proofErr w:type="spellEnd"/>
      <w:r w:rsidRPr="008C75D5">
        <w:rPr>
          <w:rFonts w:ascii="Cambria" w:hAnsi="Cambria" w:cs="Arial"/>
          <w:bCs/>
        </w:rPr>
        <w:t xml:space="preserve"> </w:t>
      </w:r>
      <w:proofErr w:type="spellStart"/>
      <w:r w:rsidRPr="008C75D5">
        <w:rPr>
          <w:rFonts w:ascii="Cambria" w:hAnsi="Cambria" w:cs="Arial"/>
          <w:bCs/>
        </w:rPr>
        <w:t>Moffitt</w:t>
      </w:r>
      <w:proofErr w:type="spellEnd"/>
      <w:r w:rsidRPr="008C75D5">
        <w:rPr>
          <w:rFonts w:ascii="Cambria" w:hAnsi="Cambria" w:cs="Arial"/>
          <w:bCs/>
        </w:rPr>
        <w:t>, “</w:t>
      </w:r>
      <w:proofErr w:type="spellStart"/>
      <w:r w:rsidRPr="008C75D5">
        <w:rPr>
          <w:rFonts w:ascii="Cambria" w:hAnsi="Cambria" w:cs="Arial"/>
          <w:bCs/>
          <w:i/>
          <w:iCs/>
        </w:rPr>
        <w:t>nomenclature</w:t>
      </w:r>
      <w:proofErr w:type="spellEnd"/>
      <w:r w:rsidRPr="008C75D5">
        <w:rPr>
          <w:rFonts w:ascii="Cambria" w:hAnsi="Cambria" w:cs="Arial"/>
          <w:bCs/>
          <w:i/>
          <w:iCs/>
        </w:rPr>
        <w:t xml:space="preserve"> </w:t>
      </w:r>
      <w:proofErr w:type="spellStart"/>
      <w:r w:rsidRPr="008C75D5">
        <w:rPr>
          <w:rFonts w:ascii="Cambria" w:hAnsi="Cambria" w:cs="Arial"/>
          <w:bCs/>
          <w:i/>
          <w:iCs/>
        </w:rPr>
        <w:t>may</w:t>
      </w:r>
      <w:proofErr w:type="spellEnd"/>
      <w:r w:rsidRPr="008C75D5">
        <w:rPr>
          <w:rFonts w:ascii="Cambria" w:hAnsi="Cambria" w:cs="Arial"/>
          <w:bCs/>
          <w:i/>
          <w:iCs/>
        </w:rPr>
        <w:t xml:space="preserve"> </w:t>
      </w:r>
      <w:proofErr w:type="spellStart"/>
      <w:r w:rsidRPr="008C75D5">
        <w:rPr>
          <w:rFonts w:ascii="Cambria" w:hAnsi="Cambria" w:cs="Arial"/>
          <w:bCs/>
          <w:i/>
          <w:iCs/>
        </w:rPr>
        <w:t>change</w:t>
      </w:r>
      <w:proofErr w:type="spellEnd"/>
      <w:r w:rsidRPr="008C75D5">
        <w:rPr>
          <w:rFonts w:ascii="Cambria" w:hAnsi="Cambria" w:cs="Arial"/>
          <w:bCs/>
          <w:i/>
          <w:iCs/>
        </w:rPr>
        <w:t xml:space="preserve">, </w:t>
      </w:r>
      <w:proofErr w:type="spellStart"/>
      <w:r w:rsidRPr="008C75D5">
        <w:rPr>
          <w:rFonts w:ascii="Cambria" w:hAnsi="Cambria" w:cs="Arial"/>
          <w:bCs/>
          <w:i/>
          <w:iCs/>
        </w:rPr>
        <w:t>but</w:t>
      </w:r>
      <w:proofErr w:type="spellEnd"/>
      <w:r w:rsidRPr="008C75D5">
        <w:rPr>
          <w:rFonts w:ascii="Cambria" w:hAnsi="Cambria" w:cs="Arial"/>
          <w:bCs/>
          <w:i/>
          <w:iCs/>
        </w:rPr>
        <w:t xml:space="preserve"> </w:t>
      </w:r>
      <w:proofErr w:type="spellStart"/>
      <w:r w:rsidRPr="008C75D5">
        <w:rPr>
          <w:rFonts w:ascii="Cambria" w:hAnsi="Cambria" w:cs="Arial"/>
          <w:bCs/>
          <w:i/>
          <w:iCs/>
        </w:rPr>
        <w:t>the</w:t>
      </w:r>
      <w:proofErr w:type="spellEnd"/>
      <w:r w:rsidRPr="008C75D5">
        <w:rPr>
          <w:rFonts w:ascii="Cambria" w:hAnsi="Cambria" w:cs="Arial"/>
          <w:bCs/>
          <w:i/>
          <w:iCs/>
        </w:rPr>
        <w:t xml:space="preserve"> faces </w:t>
      </w:r>
      <w:proofErr w:type="spellStart"/>
      <w:r w:rsidRPr="008C75D5">
        <w:rPr>
          <w:rFonts w:ascii="Cambria" w:hAnsi="Cambria" w:cs="Arial"/>
          <w:bCs/>
          <w:i/>
          <w:iCs/>
        </w:rPr>
        <w:t>remain</w:t>
      </w:r>
      <w:proofErr w:type="spellEnd"/>
      <w:r w:rsidRPr="008C75D5">
        <w:rPr>
          <w:rFonts w:ascii="Cambria" w:hAnsi="Cambria" w:cs="Arial"/>
          <w:bCs/>
          <w:i/>
          <w:iCs/>
        </w:rPr>
        <w:t xml:space="preserve"> </w:t>
      </w:r>
      <w:proofErr w:type="spellStart"/>
      <w:r w:rsidRPr="008C75D5">
        <w:rPr>
          <w:rFonts w:ascii="Cambria" w:hAnsi="Cambria" w:cs="Arial"/>
          <w:bCs/>
          <w:i/>
          <w:iCs/>
        </w:rPr>
        <w:t>the</w:t>
      </w:r>
      <w:proofErr w:type="spellEnd"/>
      <w:r w:rsidRPr="008C75D5">
        <w:rPr>
          <w:rFonts w:ascii="Cambria" w:hAnsi="Cambria" w:cs="Arial"/>
          <w:bCs/>
          <w:i/>
          <w:iCs/>
        </w:rPr>
        <w:t xml:space="preserve"> </w:t>
      </w:r>
      <w:proofErr w:type="spellStart"/>
      <w:r w:rsidRPr="008C75D5">
        <w:rPr>
          <w:rFonts w:ascii="Cambria" w:hAnsi="Cambria" w:cs="Arial"/>
          <w:bCs/>
          <w:i/>
          <w:iCs/>
        </w:rPr>
        <w:t>same</w:t>
      </w:r>
      <w:proofErr w:type="spellEnd"/>
      <w:r w:rsidRPr="008C75D5">
        <w:rPr>
          <w:rFonts w:ascii="Cambria" w:hAnsi="Cambria" w:cs="Arial"/>
          <w:bCs/>
        </w:rPr>
        <w:t>”, ou seja, os nomes podem variar, mas os rostos são os mesmos: o menino problema de hoje, é o adolescente problema de amanhã, é o criminoso do futuro.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 lógica de antecipar os fatores de risco é o fetiche dos tecnocratas atuariais.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O que há aqui é a perversa cooperação entre a ideia de prevenção especial negativa, ou seja, radicalização da política criminal em torno da incapacitação seletiva e a individualização dessa incapacitação (perseguição para incapacitação) de indivíduos definidos com perfil de alto risco.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Isso reformula toda a atividade do sistema de justiça criminal.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Policiais passam a ter suas operações definidas não por hipóteses de investigação, mas já vão atrás de suspeitos que apresentam alto risco.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Qualquer pequeno deslize de alguém que apresenta alto risco já justifica a intervenção policial.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Isso serve ainda para definir quem viaja ou não de avião (a pessoa é incluída no </w:t>
      </w:r>
      <w:r w:rsidRPr="008C75D5">
        <w:rPr>
          <w:rFonts w:ascii="Cambria" w:hAnsi="Cambria" w:cs="Arial"/>
          <w:bCs/>
          <w:i/>
          <w:iCs/>
        </w:rPr>
        <w:t>No-</w:t>
      </w:r>
      <w:proofErr w:type="spellStart"/>
      <w:r w:rsidRPr="008C75D5">
        <w:rPr>
          <w:rFonts w:ascii="Cambria" w:hAnsi="Cambria" w:cs="Arial"/>
          <w:bCs/>
          <w:i/>
          <w:iCs/>
        </w:rPr>
        <w:t>Fly</w:t>
      </w:r>
      <w:proofErr w:type="spellEnd"/>
      <w:r w:rsidRPr="008C75D5">
        <w:rPr>
          <w:rFonts w:ascii="Cambria" w:hAnsi="Cambria" w:cs="Arial"/>
          <w:bCs/>
          <w:i/>
          <w:iCs/>
        </w:rPr>
        <w:t xml:space="preserve"> </w:t>
      </w:r>
      <w:proofErr w:type="spellStart"/>
      <w:r w:rsidRPr="008C75D5">
        <w:rPr>
          <w:rFonts w:ascii="Cambria" w:hAnsi="Cambria" w:cs="Arial"/>
          <w:bCs/>
          <w:i/>
          <w:iCs/>
        </w:rPr>
        <w:t>List</w:t>
      </w:r>
      <w:proofErr w:type="spellEnd"/>
      <w:r w:rsidRPr="008C75D5">
        <w:rPr>
          <w:rFonts w:ascii="Cambria" w:hAnsi="Cambria" w:cs="Arial"/>
          <w:bCs/>
          <w:i/>
          <w:iCs/>
        </w:rPr>
        <w:t xml:space="preserve"> </w:t>
      </w:r>
      <w:r w:rsidRPr="008C75D5">
        <w:rPr>
          <w:rFonts w:ascii="Cambria" w:hAnsi="Cambria" w:cs="Arial"/>
          <w:bCs/>
        </w:rPr>
        <w:t>e não preciso dizer o porquê – basta dizer que há um perfil de risco).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Promotores são ensinados a denunciar e não oferecer o </w:t>
      </w:r>
      <w:proofErr w:type="spellStart"/>
      <w:r w:rsidRPr="008C75D5">
        <w:rPr>
          <w:rFonts w:ascii="Cambria" w:hAnsi="Cambria" w:cs="Arial"/>
          <w:bCs/>
          <w:i/>
          <w:iCs/>
        </w:rPr>
        <w:t>plea</w:t>
      </w:r>
      <w:proofErr w:type="spellEnd"/>
      <w:r w:rsidRPr="008C75D5">
        <w:rPr>
          <w:rFonts w:ascii="Cambria" w:hAnsi="Cambria" w:cs="Arial"/>
          <w:bCs/>
          <w:i/>
          <w:iCs/>
        </w:rPr>
        <w:t xml:space="preserve"> </w:t>
      </w:r>
      <w:proofErr w:type="spellStart"/>
      <w:r w:rsidRPr="008C75D5">
        <w:rPr>
          <w:rFonts w:ascii="Cambria" w:hAnsi="Cambria" w:cs="Arial"/>
          <w:bCs/>
          <w:i/>
          <w:iCs/>
        </w:rPr>
        <w:t>bargaining</w:t>
      </w:r>
      <w:proofErr w:type="spellEnd"/>
      <w:r w:rsidRPr="008C75D5">
        <w:rPr>
          <w:rFonts w:ascii="Cambria" w:hAnsi="Cambria" w:cs="Arial"/>
          <w:bCs/>
        </w:rPr>
        <w:t xml:space="preserve"> (possibilidade de negociação) e são obrigados a denunciar pessoas que no instrumento atuarial constem como de alto risco.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 a pior parte é na atividade jurisdicional.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Os juízes estão agora autorizados a definir a pena de alguém conforme cálculo atuarial, ou seja, não pelo que ela fez, mas pelo perfil que ela tem.</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As </w:t>
      </w:r>
      <w:r w:rsidRPr="008C75D5">
        <w:rPr>
          <w:rFonts w:ascii="Cambria" w:hAnsi="Cambria" w:cs="Arial"/>
          <w:bCs/>
          <w:i/>
          <w:iCs/>
        </w:rPr>
        <w:t xml:space="preserve">Federal </w:t>
      </w:r>
      <w:proofErr w:type="spellStart"/>
      <w:r w:rsidRPr="008C75D5">
        <w:rPr>
          <w:rFonts w:ascii="Cambria" w:hAnsi="Cambria" w:cs="Arial"/>
          <w:bCs/>
          <w:i/>
          <w:iCs/>
        </w:rPr>
        <w:t>Guidelines</w:t>
      </w:r>
      <w:proofErr w:type="spellEnd"/>
      <w:r w:rsidRPr="008C75D5">
        <w:rPr>
          <w:rFonts w:ascii="Cambria" w:hAnsi="Cambria" w:cs="Arial"/>
          <w:bCs/>
          <w:i/>
          <w:iCs/>
        </w:rPr>
        <w:t xml:space="preserve"> </w:t>
      </w:r>
      <w:r w:rsidRPr="008C75D5">
        <w:rPr>
          <w:rFonts w:ascii="Cambria" w:hAnsi="Cambria" w:cs="Arial"/>
          <w:bCs/>
        </w:rPr>
        <w:t>(parâmetros objetivos do governo federal) autorizam que o juiz dê uma pena respondendo aos critérios de risco (...) de alguém e desse resultado ele define, de acordo com aquilo que é pensado como gravidade do crime, a pena.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Esse sistema não é obrigatório, mas se for utilizado, não é necessário fundamentar (na prática, acabaram impondo o sistema).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Isso é, na expressão de Samuel Walker, uma tentativa de </w:t>
      </w:r>
      <w:proofErr w:type="spellStart"/>
      <w:r w:rsidRPr="008C75D5">
        <w:rPr>
          <w:rFonts w:ascii="Cambria" w:hAnsi="Cambria" w:cs="Arial"/>
          <w:bCs/>
          <w:i/>
          <w:iCs/>
        </w:rPr>
        <w:t>tame</w:t>
      </w:r>
      <w:proofErr w:type="spellEnd"/>
      <w:r w:rsidRPr="008C75D5">
        <w:rPr>
          <w:rFonts w:ascii="Cambria" w:hAnsi="Cambria" w:cs="Arial"/>
          <w:bCs/>
          <w:i/>
          <w:iCs/>
        </w:rPr>
        <w:t xml:space="preserve"> </w:t>
      </w:r>
      <w:proofErr w:type="spellStart"/>
      <w:r w:rsidRPr="008C75D5">
        <w:rPr>
          <w:rFonts w:ascii="Cambria" w:hAnsi="Cambria" w:cs="Arial"/>
          <w:bCs/>
          <w:i/>
          <w:iCs/>
        </w:rPr>
        <w:t>the</w:t>
      </w:r>
      <w:proofErr w:type="spellEnd"/>
      <w:r w:rsidRPr="008C75D5">
        <w:rPr>
          <w:rFonts w:ascii="Cambria" w:hAnsi="Cambria" w:cs="Arial"/>
          <w:bCs/>
          <w:i/>
          <w:iCs/>
        </w:rPr>
        <w:t xml:space="preserve"> system </w:t>
      </w:r>
      <w:r w:rsidRPr="008C75D5">
        <w:rPr>
          <w:rFonts w:ascii="Cambria" w:hAnsi="Cambria" w:cs="Arial"/>
          <w:bCs/>
        </w:rPr>
        <w:t xml:space="preserve">(“domar o sistema”), de usar a lógica da automação dos processos de criminalização </w:t>
      </w:r>
      <w:r w:rsidRPr="008C75D5">
        <w:rPr>
          <w:rFonts w:ascii="Cambria" w:hAnsi="Cambria" w:cs="Arial"/>
          <w:bCs/>
        </w:rPr>
        <w:lastRenderedPageBreak/>
        <w:t>(rigorosamente, automatizar a seletividade do sistema de justiça criminal) – regras jurídicas e éticas à parte – desde a atividade policial até a execução da pena.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Todo o sistema de justiça criminal deve ser pensado fora do Direito Penal e pensado apenas em termos de eficiência.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 a eficiência passa pela aplicação desses fatores de risco estatísticos.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O efeito mais emblemático dessa lógica atuarial aparece quando se substituem nos EUA os diagnósticos clínicos de inimputabilidade, isto é, a definição de quem tem ou não tem “capacidade de culpabilidade” deixa de ser uma questão médica ou das ciências da subjetividade e se você é ou não imputável passa a ser definido por um instrumento de risco atuarial.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Com isso, há uma burocratização da subjetividade, acaba se transformando distúrbios de comportamento de problemas em fatores de risco.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Então você pode não ter nenhuma manifestação disso, mas se o cálculo dos elementos de risco diz que você é potencialmente esquizofrênico você é considerado inimputável e fica sujeito a uma (...) medida de incapacitação pelo tempo que o instrumento atuarial determinar.</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Isso significa que há uma substituição da discricionariedade dos agentes da repressão – e geralmente da discricionariedade para absolver – por uma </w:t>
      </w:r>
      <w:proofErr w:type="spellStart"/>
      <w:r w:rsidRPr="008C75D5">
        <w:rPr>
          <w:rFonts w:ascii="Cambria" w:hAnsi="Cambria" w:cs="Arial"/>
          <w:bCs/>
        </w:rPr>
        <w:t>procedimentalização</w:t>
      </w:r>
      <w:proofErr w:type="spellEnd"/>
      <w:r w:rsidRPr="008C75D5">
        <w:rPr>
          <w:rFonts w:ascii="Cambria" w:hAnsi="Cambria" w:cs="Arial"/>
          <w:bCs/>
        </w:rPr>
        <w:t xml:space="preserve"> que segue formulário se pode comprar na internet por cerca de U$ 100,00 ou U$ 200,00.</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Isso deveria ser muito preocupante em razão do alto número de processos nas varas criminais (se você diz ao juiz que ele pode condenar pessoas – absolver pessoas, embora isso seja sempre em menor parte –, definir a pena, a progressão de regime mediante um </w:t>
      </w:r>
      <w:r w:rsidRPr="008C75D5">
        <w:rPr>
          <w:rFonts w:ascii="Cambria" w:hAnsi="Cambria" w:cs="Arial"/>
          <w:bCs/>
          <w:i/>
          <w:iCs/>
        </w:rPr>
        <w:t>software</w:t>
      </w:r>
      <w:r w:rsidRPr="008C75D5">
        <w:rPr>
          <w:rFonts w:ascii="Cambria" w:hAnsi="Cambria" w:cs="Arial"/>
          <w:bCs/>
        </w:rPr>
        <w:t>, quem não iria querer aderir? – o juiz iria ser reduzido a apertar botões e em breve o próprio juiz não seria necessário para isso – pode ser um tecnocrata).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O medo que isso instala na crítica dizendo que isso é uma criminologia do fim da história (porque as determinações do crime ou dos processos de criminalização não estão em questão) remetem a 2 utopias negativas de futuro: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1) Nós, os Marcianos (Isaac Asimov);</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2) 1984 (George Orwell).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Neles, há duas perspectivas de futuro: ou há um domínio tecnocrático (automatismo, sem discricionariedade) ou há um domínio da futilidade absoluta, em que não há um espaço para a crítica.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 lógica atuarial consegue conjugar essas duas utopias negativas de futuro, porque de um lado há um absoluto domínio tecnocrático – em que os </w:t>
      </w:r>
      <w:r w:rsidRPr="008C75D5">
        <w:rPr>
          <w:rFonts w:ascii="Cambria" w:hAnsi="Cambria" w:cs="Arial"/>
          <w:bCs/>
          <w:u w:val="single"/>
        </w:rPr>
        <w:t>critérios de justiça não significam nada</w:t>
      </w:r>
      <w:r w:rsidRPr="008C75D5">
        <w:rPr>
          <w:rFonts w:ascii="Cambria" w:hAnsi="Cambria" w:cs="Arial"/>
          <w:bCs/>
        </w:rPr>
        <w:t xml:space="preserve"> – e, de outro lado, há uma </w:t>
      </w:r>
      <w:r w:rsidRPr="008C75D5">
        <w:rPr>
          <w:rFonts w:ascii="Cambria" w:hAnsi="Cambria" w:cs="Arial"/>
          <w:bCs/>
          <w:u w:val="single"/>
        </w:rPr>
        <w:t>impossibilidade da crítica</w:t>
      </w:r>
      <w:r w:rsidRPr="008C75D5">
        <w:rPr>
          <w:rFonts w:ascii="Cambria" w:hAnsi="Cambria" w:cs="Arial"/>
          <w:bCs/>
        </w:rPr>
        <w:t xml:space="preserve"> denunciar, por exemplo, que o sistema de justiça é racista (porque o judiciário não é mais racista, ele segue critérios de risco).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Quando se diz que “ser negro é um fator de risco” a crítica de que é racismo não tem mais efeito porque isso já foi incorporado como fator de risco.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Da mesma forma, o fato de o sujeito ser pobre, homem, negro e jovem não é uma orientação racista, classista, machista do Sistema de Justiça Criminal, mas um dado incorporado como um dado estatístico que tem que ser observado.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Críticas: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 Ético-normativa: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a.1) Violação da lesividade: pune em razão do perfil de risco, não pela ofensa concreta e relevante a bem jurídico;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a.2) Violação da proteção contra qualquer forma de discriminação: utilização de sexo, raça, etnia;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a.3) Violação da salvaguarda pelo direito de consciência, crença e convicção: confissões religiosas e certezas políticas;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a.4) Violação ao direito à autolesão da saúde: uso de drogas;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a.5) Violação ao direito à intimidade, à vida privada e livre locomoção: natureza das relações familiares, orientação sexual, local de residência;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a.6) Violação ao direito à preguiça: o trabalho é algo que não pode ser imposto.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Ainda, legalidade, proporcionalidade (medida da culpabilidade), humanidade etc.</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b) Eficiência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De 1980 a 2008: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Crescimento populacional: 34%</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Aumento na quantidade de presos: 375%</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1 milhão e 600 mil presos (penitenciárias)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750 mil presos provisórios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Os que irão cumprir pena de morte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“Parole” ou “</w:t>
      </w:r>
      <w:proofErr w:type="spellStart"/>
      <w:r w:rsidRPr="008C75D5">
        <w:rPr>
          <w:rFonts w:ascii="Cambria" w:hAnsi="Cambria" w:cs="Arial"/>
          <w:bCs/>
        </w:rPr>
        <w:t>Probation</w:t>
      </w:r>
      <w:proofErr w:type="spellEnd"/>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Total: </w:t>
      </w:r>
      <w:r w:rsidRPr="008C75D5">
        <w:rPr>
          <w:rFonts w:ascii="Cambria" w:hAnsi="Cambria" w:cs="Arial"/>
          <w:bCs/>
          <w:u w:val="single"/>
        </w:rPr>
        <w:t>7 milhões de pessoas sob alguma forma de controle penal</w:t>
      </w: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Custo: 68 bilhões de dólares anuais.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Conclusão: essa política está longe de ser eficiente.</w:t>
      </w:r>
    </w:p>
    <w:p w:rsidR="008C75D5" w:rsidRDefault="008C75D5" w:rsidP="008C75D5">
      <w:pPr>
        <w:spacing w:line="360" w:lineRule="auto"/>
        <w:ind w:firstLine="1134"/>
        <w:jc w:val="both"/>
        <w:rPr>
          <w:rFonts w:ascii="Cambria" w:hAnsi="Cambria" w:cs="Arial"/>
          <w:bCs/>
        </w:rPr>
      </w:pPr>
    </w:p>
    <w:p w:rsidR="007A2ECE" w:rsidRDefault="007A2ECE" w:rsidP="008C75D5">
      <w:pPr>
        <w:spacing w:line="360" w:lineRule="auto"/>
        <w:ind w:firstLine="1134"/>
        <w:jc w:val="both"/>
        <w:rPr>
          <w:rFonts w:ascii="Cambria" w:hAnsi="Cambria" w:cs="Arial"/>
          <w:bCs/>
        </w:rPr>
      </w:pPr>
    </w:p>
    <w:p w:rsidR="007A2ECE" w:rsidRPr="007A2ECE" w:rsidRDefault="007A2ECE" w:rsidP="008C75D5">
      <w:pPr>
        <w:spacing w:line="360" w:lineRule="auto"/>
        <w:ind w:firstLine="1134"/>
        <w:jc w:val="both"/>
        <w:rPr>
          <w:rFonts w:ascii="Cambria" w:hAnsi="Cambria" w:cs="Arial"/>
          <w:b/>
          <w:bCs/>
        </w:rPr>
      </w:pPr>
      <w:r w:rsidRPr="007A2ECE">
        <w:rPr>
          <w:rFonts w:ascii="Cambria" w:hAnsi="Cambria" w:cs="Arial"/>
          <w:b/>
          <w:bCs/>
        </w:rPr>
        <w:t>Tradução prática:</w:t>
      </w:r>
    </w:p>
    <w:p w:rsidR="007A2ECE" w:rsidRDefault="007A2ECE" w:rsidP="008C75D5">
      <w:pPr>
        <w:spacing w:line="360" w:lineRule="auto"/>
        <w:ind w:firstLine="1134"/>
        <w:jc w:val="both"/>
        <w:rPr>
          <w:rFonts w:ascii="Cambria" w:hAnsi="Cambria" w:cs="Arial"/>
          <w:bCs/>
        </w:rPr>
      </w:pPr>
    </w:p>
    <w:p w:rsidR="007A2ECE" w:rsidRPr="008C75D5" w:rsidRDefault="007A2ECE"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Perspectiva crítica (criminologia crítica):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1) Inobservância das regras constitucionais, convencionais e legais de proteção dos direitos fundamentais;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2) Seletividade;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3) Preconceito;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4) Ausência de juízo crítico acerca da prova e da legislação;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5) Legitimação do Estado Policial;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6) Busca da “verdade real”: não há espaço para a dúvida (ambição de verdade).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TRÁFICO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Depoimentos isolados de policiais militares responsáveis pela apreensão de drogas (ausência de outras provas)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Insuficiência: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 xml:space="preserve">a) são agentes cuja atuação profissional está ligada à repressão ao tráfico, fato que inegavelmente macula a parcialidade de seus depoimentos;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b) há uma natural tentativa de legitimar suas ações, até porque participaram da prisão, havendo risco de responderem funcional e criminalmente por sua conduta (caso a versão apresentada não se mostre conforme a realidade);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 porque são agentes do Estado incumbidos de angariar elementos informativos para formação da convicção do magistrado após a filtragem do devido processo legal, não podendo eles mesmos suprir os meios de prova que deveriam colher;</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d) os policiais costumam ler previamente o boletim de ocorrência, o que impede a reprodução espontânea dos relatos e acaba por “legitimar” o próprio inquérito policial através da “programação” do depoimento” (art. 204 e parágrafo único; determinação de prévia leitura; art. 210 e parágrafo único).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Crítica: imputação de falso testemunho a testemunhas de defesa cujo depoimento destoa dos depoimentos dos policiais militares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204. O depoimento será prestado oralmente, não sendo permitido à testemunha trazê-lo por escrito.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Parágrafo único. Não será vedada à testemunha, entretanto, breve consulta a apontamentos.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210. As testemunhas serão inquiridas cada uma de per si, de modo que umas não saibam nem ouçam os depoimentos das outras, devendo o juiz adverti-las das penas cominadas ao falso testemunho. (Redação dada pela Lei nº 11.690, de 2008)</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Parágrafo único. Antes do início da audiência e durante a sua realização, serão reservados espaços separados para a garantia da incomunicabilidade das testemunhas. (Incluído pela Lei nº 11.690, de 2008</w:t>
      </w:r>
      <w:hyperlink r:id="rId8" w:history="1">
        <w:r w:rsidRPr="008C75D5">
          <w:rPr>
            <w:rStyle w:val="Hyperlink"/>
            <w:rFonts w:ascii="Cambria" w:hAnsi="Cambria" w:cs="Arial"/>
            <w:bCs/>
          </w:rPr>
          <w:t>)</w:t>
        </w:r>
      </w:hyperlink>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Determinação de prévia leitura.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Perda de uma chance (Alexandre de Morais da Rosa: http://www.conjur.com.br/2014-jun-20/teoria-perda-chance-probatoria-aplicada-processo-penal)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Versão isolada dos policias sem reforçar a prisão em flagrante com elementos que a subsidiem (filmagens, testemunhas isentas – proteção pelo Provimento 32/2000, do TJSP – extrato de informação anônima etc.)</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rPr>
        <w:t>“</w:t>
      </w:r>
      <w:r w:rsidRPr="008C75D5">
        <w:rPr>
          <w:rFonts w:ascii="Cambria" w:hAnsi="Cambria" w:cs="Arial"/>
          <w:bCs/>
          <w:i/>
        </w:rPr>
        <w:t>E apesar de a e. magistrada ter afirmado que a versão do acusado restou isolada nos autos, é imperioso lembrar que tampouco os policiais tiveram qualquer cuidado em cercar o flagrante de elementos que o corroborassem, embora plenamente possível.</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i/>
        </w:rPr>
        <w:t>Isso porque, embora os policiais tenham narrado a presença de diversas pessoas no local, nenhuma delas foi arrolada como testemunha, de modo que se pode concluir que a ausência de um testemunho isento foi causada pelos próprios policiais</w:t>
      </w: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w:t>
      </w:r>
      <w:r w:rsidRPr="008C75D5">
        <w:rPr>
          <w:rFonts w:ascii="Cambria" w:hAnsi="Cambria" w:cs="Arial"/>
          <w:bCs/>
          <w:i/>
        </w:rPr>
        <w:t>Ninguém apontou os réus como traficantes, tampouco algum suposto usuário foi ouvido, sendo impossível que nenhuma pessoa houvesse testemunhado algum ato de mercancia por parte do apelante que não pudesse ter sido arrolada como testemunha, cuja qualificação e endereço poderiam ser mantidos em sigilo em razão do Provimento 32/2000, da Corregedoria-Geral do Tribunal de Justiça de SP)</w:t>
      </w: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Abordagem inicial (busca pessoal): fundada suspeita.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240. A busca será domiciliar ou pessoal. § 2</w:t>
      </w:r>
      <w:r w:rsidRPr="008C75D5">
        <w:rPr>
          <w:rFonts w:ascii="Cambria" w:hAnsi="Cambria" w:cs="Arial"/>
          <w:bCs/>
          <w:u w:val="single"/>
          <w:vertAlign w:val="superscript"/>
        </w:rPr>
        <w:t>o</w:t>
      </w:r>
      <w:r w:rsidRPr="008C75D5">
        <w:rPr>
          <w:rFonts w:ascii="Cambria" w:hAnsi="Cambria" w:cs="Arial"/>
          <w:bCs/>
        </w:rPr>
        <w:t xml:space="preserve"> Proceder-se-á à busca pessoal quando houver </w:t>
      </w:r>
      <w:r w:rsidRPr="008C75D5">
        <w:rPr>
          <w:rFonts w:ascii="Cambria" w:hAnsi="Cambria" w:cs="Arial"/>
          <w:bCs/>
          <w:u w:val="single"/>
        </w:rPr>
        <w:t>fundada suspeita</w:t>
      </w:r>
      <w:r w:rsidRPr="008C75D5">
        <w:rPr>
          <w:rFonts w:ascii="Cambria" w:hAnsi="Cambria" w:cs="Arial"/>
          <w:bCs/>
        </w:rPr>
        <w:t xml:space="preserve"> de que alguém oculte consigo arma proibida ou objetos mencionados nas letras </w:t>
      </w:r>
      <w:r w:rsidRPr="008C75D5">
        <w:rPr>
          <w:rFonts w:ascii="Cambria" w:hAnsi="Cambria" w:cs="Arial"/>
          <w:bCs/>
          <w:i/>
          <w:iCs/>
        </w:rPr>
        <w:t>b</w:t>
      </w:r>
      <w:r w:rsidRPr="008C75D5">
        <w:rPr>
          <w:rFonts w:ascii="Cambria" w:hAnsi="Cambria" w:cs="Arial"/>
          <w:bCs/>
        </w:rPr>
        <w:t xml:space="preserve"> a </w:t>
      </w:r>
      <w:r w:rsidRPr="008C75D5">
        <w:rPr>
          <w:rFonts w:ascii="Cambria" w:hAnsi="Cambria" w:cs="Arial"/>
          <w:bCs/>
          <w:i/>
          <w:iCs/>
        </w:rPr>
        <w:t>f</w:t>
      </w:r>
      <w:r w:rsidRPr="008C75D5">
        <w:rPr>
          <w:rFonts w:ascii="Cambria" w:hAnsi="Cambria" w:cs="Arial"/>
          <w:bCs/>
        </w:rPr>
        <w:t xml:space="preserve"> e letra </w:t>
      </w:r>
      <w:r w:rsidRPr="008C75D5">
        <w:rPr>
          <w:rFonts w:ascii="Cambria" w:hAnsi="Cambria" w:cs="Arial"/>
          <w:bCs/>
          <w:i/>
          <w:iCs/>
        </w:rPr>
        <w:t>h</w:t>
      </w:r>
      <w:r w:rsidRPr="008C75D5">
        <w:rPr>
          <w:rFonts w:ascii="Cambria" w:hAnsi="Cambria" w:cs="Arial"/>
          <w:bCs/>
        </w:rPr>
        <w:t xml:space="preserve"> do parágrafo anterior.</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Vedação de comportamento discriminatório (nulidade – art. 564, IV, do CPP: a nulidade ocorrerá nos seguintes casos: IV- por omissão de formalidade que constitua elemento essencial do ato).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w:t>
      </w:r>
      <w:r w:rsidRPr="008C75D5">
        <w:rPr>
          <w:rFonts w:ascii="Cambria" w:hAnsi="Cambria" w:cs="Arial"/>
          <w:bCs/>
          <w:i/>
        </w:rPr>
        <w:t xml:space="preserve">No particular, há que se pontuar, também, a necessidade de se conter atuações seletivas (escolhas arbitrárias de determinadas pessoas) do aparelho estatal, muitas vezes acobertadas por juízos discriminatórios e inconfessáveis. É dizer: deve a autoridade policial se encontrar apta a justificar a sua atuação, no âmbito da corporação, e ao nível do </w:t>
      </w:r>
      <w:r w:rsidRPr="008C75D5">
        <w:rPr>
          <w:rFonts w:ascii="Cambria" w:hAnsi="Cambria" w:cs="Arial"/>
          <w:bCs/>
          <w:iCs/>
        </w:rPr>
        <w:t>estrito cumprimento do dever legal</w:t>
      </w:r>
      <w:r w:rsidRPr="008C75D5">
        <w:rPr>
          <w:rFonts w:ascii="Cambria" w:hAnsi="Cambria" w:cs="Arial"/>
          <w:bCs/>
          <w:i/>
          <w:iCs/>
        </w:rPr>
        <w:t>”</w:t>
      </w: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(Comentários ao Código de Processo Penal e sua Jurisprudência, 5ª edição, Atlas, 2013, p. 475)</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Ausência de harmonia, precisão, vagueza, principalmente quanto a tema essencial (“fundada suspeita”): dúvida razoável (absolvição: art. 386, VII, do CPP)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Confissão informal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 Constituição Federal garante </w:t>
      </w:r>
      <w:r w:rsidRPr="008C75D5">
        <w:rPr>
          <w:rFonts w:ascii="Cambria" w:hAnsi="Cambria" w:cs="Arial"/>
          <w:bCs/>
          <w:u w:val="single"/>
        </w:rPr>
        <w:t>de forma irrestrita</w:t>
      </w:r>
      <w:r w:rsidRPr="008C75D5">
        <w:rPr>
          <w:rFonts w:ascii="Cambria" w:hAnsi="Cambria" w:cs="Arial"/>
          <w:bCs/>
        </w:rPr>
        <w:t xml:space="preserve"> o </w:t>
      </w:r>
      <w:r w:rsidRPr="008C75D5">
        <w:rPr>
          <w:rFonts w:ascii="Cambria" w:hAnsi="Cambria" w:cs="Arial"/>
          <w:bCs/>
          <w:u w:val="single"/>
        </w:rPr>
        <w:t>direito ao silêncio</w:t>
      </w:r>
      <w:r w:rsidRPr="008C75D5">
        <w:rPr>
          <w:rFonts w:ascii="Cambria" w:hAnsi="Cambria" w:cs="Arial"/>
          <w:bCs/>
        </w:rPr>
        <w:t xml:space="preserve"> (art. 5º, LXIII). O silêncio também é garantido nos artigos 8, 2, “g”, da Convenção Americana de Direito Humanos de 1969; 14, 3, “g”, do Pacto Internacional dos Direitos Civis e Políticos de 1966; e 186, do CPP.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 confissão informal obtida sem prévia advertência do acusado quanto ao direito ao silêncio e os depoimentos dos agentes policiais dela decorrentes são provas imprestáveis no processo (artigos 5°, LVI, da CF e 157, </w:t>
      </w:r>
      <w:r w:rsidRPr="008C75D5">
        <w:rPr>
          <w:rFonts w:ascii="Cambria" w:hAnsi="Cambria" w:cs="Arial"/>
          <w:bCs/>
          <w:i/>
          <w:iCs/>
        </w:rPr>
        <w:t>caput</w:t>
      </w:r>
      <w:r w:rsidRPr="008C75D5">
        <w:rPr>
          <w:rFonts w:ascii="Cambria" w:hAnsi="Cambria" w:cs="Arial"/>
          <w:bCs/>
        </w:rPr>
        <w:t xml:space="preserve"> e § 1°, do CPP), devendo ser desconsiderados e desentranhados dos autos (artigo 157, do CPP).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Deve-se, por óbvio, entender que a norma constitucional, de eficácia plena e aplicação imediata (artigo 5°, § 1°, da CF), é aplicável desde a prisão em flagrante, sendo absolutamente ilógico entender que o preso só será informado de seu direito ao silêncio no interrogatório policial e na audiência em juízo, momento em que muitas provas contaminadas já foram produzidas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Tal advertência deve ser garantida de forma irrestrita pois serve para que não sejam os policiais militares os únicos responsáveis por definir quem é ou não traficante (já que eles apresentam as drogas e são eles as únicas testemunhas que eles próprios decidiram apresentar).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Além disso, trata-se de meio de expediente que torna o contraditório impossível à defesa por que impõe a ela o ônus (diabólico) da prova de fato negativo (como demonstrar que não houve confissão?).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w:t>
      </w:r>
      <w:r w:rsidRPr="008C75D5">
        <w:rPr>
          <w:rFonts w:ascii="Cambria" w:hAnsi="Cambria" w:cs="Arial"/>
          <w:bCs/>
          <w:i/>
        </w:rPr>
        <w:t>HABEAS CORPUS. DIREITO PROCESSUAL PENAL. ESTUPRO E ATENTADO VIOLENTO AO PUDOR. REITERAÇÃO PARCIAL DE PEDIDOS. NÃO CONHECIMENTO. NÃO APRECIAÇÃO DE TESES DA DEFESA. INOCORRÊNCIA. ILICITUDE DA PROVA. RECONHECIMENTO. IRRELEVÂNCIA NO JULGADO. (...) 2. Caracteriza prova ilícita o depoimento prestado por Delegado de Polícia, relativamente a "conversa informal" que manteve com indiciado, na fase inquisitorial.  (...)</w:t>
      </w: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i/>
        </w:rPr>
        <w:t>(</w:t>
      </w:r>
      <w:r w:rsidRPr="008C75D5">
        <w:rPr>
          <w:rFonts w:ascii="Cambria" w:hAnsi="Cambria" w:cs="Arial"/>
          <w:bCs/>
        </w:rPr>
        <w:t>HC 200302164044, HAMILTON CARVALHIDO, STJ - SEXTA TURMA, DJ DATA:28/06/2004)</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Precedentes da Suprema Corte dos Estados Unidos (fixaram a interpretação adequada do privilégio contra a autoincriminação, conhecida como “Miranda </w:t>
      </w:r>
      <w:proofErr w:type="spellStart"/>
      <w:r w:rsidRPr="008C75D5">
        <w:rPr>
          <w:rFonts w:ascii="Cambria" w:hAnsi="Cambria" w:cs="Arial"/>
          <w:bCs/>
        </w:rPr>
        <w:t>Warnigs</w:t>
      </w:r>
      <w:proofErr w:type="spellEnd"/>
      <w:r w:rsidRPr="008C75D5">
        <w:rPr>
          <w:rFonts w:ascii="Cambria" w:hAnsi="Cambria" w:cs="Arial"/>
          <w:bCs/>
        </w:rPr>
        <w:t xml:space="preserve">”, “Miranda </w:t>
      </w:r>
      <w:proofErr w:type="spellStart"/>
      <w:r w:rsidRPr="008C75D5">
        <w:rPr>
          <w:rFonts w:ascii="Cambria" w:hAnsi="Cambria" w:cs="Arial"/>
          <w:bCs/>
        </w:rPr>
        <w:t>Rules</w:t>
      </w:r>
      <w:proofErr w:type="spellEnd"/>
      <w:r w:rsidRPr="008C75D5">
        <w:rPr>
          <w:rFonts w:ascii="Cambria" w:hAnsi="Cambria" w:cs="Arial"/>
          <w:bCs/>
        </w:rPr>
        <w:t xml:space="preserve">” ou "Miranda </w:t>
      </w:r>
      <w:proofErr w:type="spellStart"/>
      <w:r w:rsidRPr="008C75D5">
        <w:rPr>
          <w:rFonts w:ascii="Cambria" w:hAnsi="Cambria" w:cs="Arial"/>
          <w:bCs/>
        </w:rPr>
        <w:t>rights</w:t>
      </w:r>
      <w:proofErr w:type="spellEnd"/>
      <w:r w:rsidRPr="008C75D5">
        <w:rPr>
          <w:rFonts w:ascii="Cambria" w:hAnsi="Cambria" w:cs="Arial"/>
          <w:bCs/>
        </w:rPr>
        <w:t xml:space="preserve">" (casos ESCOBEDO V. ILLINOIS - 378 U.S 478, 1964; </w:t>
      </w:r>
      <w:r w:rsidRPr="008C75D5">
        <w:rPr>
          <w:rFonts w:ascii="Cambria" w:hAnsi="Cambria" w:cs="Arial"/>
          <w:bCs/>
          <w:u w:val="single"/>
        </w:rPr>
        <w:t>MIRANDA V. ARIZONA - 384 U.S 436, 1966</w:t>
      </w:r>
      <w:r w:rsidRPr="008C75D5">
        <w:rPr>
          <w:rFonts w:ascii="Cambria" w:hAnsi="Cambria" w:cs="Arial"/>
          <w:bCs/>
        </w:rPr>
        <w:t xml:space="preserve">; DICKERSON V. UNITED STATES - 530 U.S 428, 2000).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Audiência de Custódia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 versão de que o acusado teria confessado informalmente e espontaneamente o tráfico é pouco crível.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Informado previamente de seus direitos, consciente de que não é obrigado a produzir prova contra si e partindo-se da premissa de que não havia qualquer coação ou engodo, a afirmação de que houve confissão informal simplesmente não convence.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Ainda que o réu não saiba indicar os motivos concretos pelos quais os policiais estariam apresentando versão diversa, não se pode ignorar o contexto de guerra às drogas em que estão inseridos e as frequentes violações a direitos que nela ocorrem.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Justamente por conta de situações como essa, a Convenção Americana de Direitos Humanos e o Pacto Internacional dos Direitos Civis e Políticos preveem a garantia </w:t>
      </w:r>
      <w:r w:rsidRPr="008C75D5">
        <w:rPr>
          <w:rFonts w:ascii="Cambria" w:hAnsi="Cambria" w:cs="Arial"/>
          <w:bCs/>
        </w:rPr>
        <w:lastRenderedPageBreak/>
        <w:t xml:space="preserve">de apresentação da pessoa presa ao juiz no momento da prisão, o que é confirmado pela jurisprudência da Corte Interamericana de Direitos Humanos, legítima intérprete da Convenção no âmbito internacional (e a sua jurisprudência deve servir de base de interpretação do tratado). </w:t>
      </w:r>
    </w:p>
    <w:p w:rsidR="008C75D5" w:rsidRPr="008C75D5" w:rsidRDefault="008C75D5" w:rsidP="008C75D5">
      <w:pPr>
        <w:spacing w:line="360" w:lineRule="auto"/>
        <w:ind w:firstLine="1134"/>
        <w:jc w:val="both"/>
        <w:rPr>
          <w:rFonts w:ascii="Cambria" w:hAnsi="Cambria" w:cs="Arial"/>
          <w:bCs/>
          <w:lang w:val="x-none"/>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lang w:val="x-none"/>
        </w:rPr>
        <w:t>Artigo 7º</w:t>
      </w:r>
      <w:r w:rsidRPr="008C75D5">
        <w:rPr>
          <w:rFonts w:ascii="Cambria" w:hAnsi="Cambria" w:cs="Arial"/>
          <w:bCs/>
        </w:rPr>
        <w:t>, 5.</w:t>
      </w:r>
      <w:r w:rsidRPr="008C75D5">
        <w:rPr>
          <w:rFonts w:ascii="Cambria" w:hAnsi="Cambria" w:cs="Arial"/>
          <w:bCs/>
          <w:lang w:val="x-none"/>
        </w:rPr>
        <w:t xml:space="preserve"> Direito à liberdade pessoal. Toda pessoa presa, detida ou retida deve ser conduzida, sem demora, à presença de um juiz ou outra autoridade autorizada por lei a exercer funções judiciais e tem o direito de ser julgada em prazo razoável ou de ser posta em liberdade, sem prejuízo de que prossiga o processo. Sua liberdade pode ser condicionada a garantias que assegurem o seu comparecimento em juízo.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9º, 3. Qualquer pessoa presa ou encerrada em virtude de infração penal deverá ser conduzida, sem demora, à presença do juiz ou de outra autoridade habilitada por lei a exercer funções e terá o direito de ser julgada em prazo razoável ou de ser posta em liberdade. A prisão preventiva de pessoas que aguardam julgamento não deverá constituir a regra geral, mas a soltura poderá estar condicionada a garantias que assegurem o comparecimento da pessoa em questão à audiência, a todos os atos do processo e, se necessário for, para a execução da sentença.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Casos julgados pela Corte Interamericana.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w:t>
      </w:r>
      <w:r w:rsidRPr="008C75D5">
        <w:rPr>
          <w:rFonts w:ascii="Cambria" w:hAnsi="Cambria" w:cs="Arial"/>
          <w:bCs/>
          <w:i/>
        </w:rPr>
        <w:t xml:space="preserve">78. Tal y como </w:t>
      </w:r>
      <w:proofErr w:type="spellStart"/>
      <w:r w:rsidRPr="008C75D5">
        <w:rPr>
          <w:rFonts w:ascii="Cambria" w:hAnsi="Cambria" w:cs="Arial"/>
          <w:bCs/>
          <w:i/>
        </w:rPr>
        <w:t>lo</w:t>
      </w:r>
      <w:proofErr w:type="spellEnd"/>
      <w:r w:rsidRPr="008C75D5">
        <w:rPr>
          <w:rFonts w:ascii="Cambria" w:hAnsi="Cambria" w:cs="Arial"/>
          <w:bCs/>
          <w:i/>
        </w:rPr>
        <w:t xml:space="preserve"> ha </w:t>
      </w:r>
      <w:proofErr w:type="spellStart"/>
      <w:r w:rsidRPr="008C75D5">
        <w:rPr>
          <w:rFonts w:ascii="Cambria" w:hAnsi="Cambria" w:cs="Arial"/>
          <w:bCs/>
          <w:i/>
        </w:rPr>
        <w:t>señalado</w:t>
      </w:r>
      <w:proofErr w:type="spellEnd"/>
      <w:r w:rsidRPr="008C75D5">
        <w:rPr>
          <w:rFonts w:ascii="Cambria" w:hAnsi="Cambria" w:cs="Arial"/>
          <w:bCs/>
          <w:i/>
        </w:rPr>
        <w:t xml:space="preserve"> </w:t>
      </w:r>
      <w:proofErr w:type="spellStart"/>
      <w:r w:rsidRPr="008C75D5">
        <w:rPr>
          <w:rFonts w:ascii="Cambria" w:hAnsi="Cambria" w:cs="Arial"/>
          <w:bCs/>
          <w:i/>
        </w:rPr>
        <w:t>en</w:t>
      </w:r>
      <w:proofErr w:type="spellEnd"/>
      <w:r w:rsidRPr="008C75D5">
        <w:rPr>
          <w:rFonts w:ascii="Cambria" w:hAnsi="Cambria" w:cs="Arial"/>
          <w:bCs/>
          <w:i/>
        </w:rPr>
        <w:t xml:space="preserve"> </w:t>
      </w:r>
      <w:proofErr w:type="spellStart"/>
      <w:r w:rsidRPr="008C75D5">
        <w:rPr>
          <w:rFonts w:ascii="Cambria" w:hAnsi="Cambria" w:cs="Arial"/>
          <w:bCs/>
          <w:i/>
        </w:rPr>
        <w:t>otros</w:t>
      </w:r>
      <w:proofErr w:type="spellEnd"/>
      <w:r w:rsidRPr="008C75D5">
        <w:rPr>
          <w:rFonts w:ascii="Cambria" w:hAnsi="Cambria" w:cs="Arial"/>
          <w:bCs/>
          <w:i/>
        </w:rPr>
        <w:t xml:space="preserve"> casos, este Tribunal estima </w:t>
      </w:r>
      <w:proofErr w:type="spellStart"/>
      <w:r w:rsidRPr="008C75D5">
        <w:rPr>
          <w:rFonts w:ascii="Cambria" w:hAnsi="Cambria" w:cs="Arial"/>
          <w:bCs/>
          <w:i/>
        </w:rPr>
        <w:t>necesario</w:t>
      </w:r>
      <w:proofErr w:type="spellEnd"/>
      <w:r w:rsidRPr="008C75D5">
        <w:rPr>
          <w:rFonts w:ascii="Cambria" w:hAnsi="Cambria" w:cs="Arial"/>
          <w:bCs/>
          <w:i/>
        </w:rPr>
        <w:t xml:space="preserve"> realizar </w:t>
      </w:r>
      <w:proofErr w:type="spellStart"/>
      <w:r w:rsidRPr="008C75D5">
        <w:rPr>
          <w:rFonts w:ascii="Cambria" w:hAnsi="Cambria" w:cs="Arial"/>
          <w:bCs/>
          <w:i/>
        </w:rPr>
        <w:t>algunas</w:t>
      </w:r>
      <w:proofErr w:type="spellEnd"/>
      <w:r w:rsidRPr="008C75D5">
        <w:rPr>
          <w:rFonts w:ascii="Cambria" w:hAnsi="Cambria" w:cs="Arial"/>
          <w:bCs/>
          <w:i/>
        </w:rPr>
        <w:t xml:space="preserve"> </w:t>
      </w:r>
      <w:proofErr w:type="spellStart"/>
      <w:r w:rsidRPr="008C75D5">
        <w:rPr>
          <w:rFonts w:ascii="Cambria" w:hAnsi="Cambria" w:cs="Arial"/>
          <w:bCs/>
          <w:i/>
        </w:rPr>
        <w:t>precisiones</w:t>
      </w:r>
      <w:proofErr w:type="spellEnd"/>
      <w:r w:rsidRPr="008C75D5">
        <w:rPr>
          <w:rFonts w:ascii="Cambria" w:hAnsi="Cambria" w:cs="Arial"/>
          <w:bCs/>
          <w:i/>
        </w:rPr>
        <w:t xml:space="preserve"> sobre este </w:t>
      </w:r>
      <w:proofErr w:type="spellStart"/>
      <w:r w:rsidRPr="008C75D5">
        <w:rPr>
          <w:rFonts w:ascii="Cambria" w:hAnsi="Cambria" w:cs="Arial"/>
          <w:bCs/>
          <w:i/>
        </w:rPr>
        <w:t>punto</w:t>
      </w:r>
      <w:proofErr w:type="spellEnd"/>
      <w:r w:rsidRPr="008C75D5">
        <w:rPr>
          <w:rFonts w:ascii="Cambria" w:hAnsi="Cambria" w:cs="Arial"/>
          <w:bCs/>
          <w:i/>
        </w:rPr>
        <w:t xml:space="preserve">. </w:t>
      </w:r>
      <w:proofErr w:type="spellStart"/>
      <w:r w:rsidRPr="008C75D5">
        <w:rPr>
          <w:rFonts w:ascii="Cambria" w:hAnsi="Cambria" w:cs="Arial"/>
          <w:bCs/>
          <w:i/>
        </w:rPr>
        <w:t>En</w:t>
      </w:r>
      <w:proofErr w:type="spellEnd"/>
      <w:r w:rsidRPr="008C75D5">
        <w:rPr>
          <w:rFonts w:ascii="Cambria" w:hAnsi="Cambria" w:cs="Arial"/>
          <w:bCs/>
          <w:i/>
        </w:rPr>
        <w:t xml:space="preserve"> primer lugar, </w:t>
      </w:r>
      <w:proofErr w:type="spellStart"/>
      <w:r w:rsidRPr="008C75D5">
        <w:rPr>
          <w:rFonts w:ascii="Cambria" w:hAnsi="Cambria" w:cs="Arial"/>
          <w:bCs/>
          <w:i/>
        </w:rPr>
        <w:t>los</w:t>
      </w:r>
      <w:proofErr w:type="spellEnd"/>
      <w:r w:rsidRPr="008C75D5">
        <w:rPr>
          <w:rFonts w:ascii="Cambria" w:hAnsi="Cambria" w:cs="Arial"/>
          <w:bCs/>
          <w:i/>
        </w:rPr>
        <w:t xml:space="preserve"> términos de </w:t>
      </w:r>
      <w:proofErr w:type="spellStart"/>
      <w:r w:rsidRPr="008C75D5">
        <w:rPr>
          <w:rFonts w:ascii="Cambria" w:hAnsi="Cambria" w:cs="Arial"/>
          <w:bCs/>
          <w:i/>
        </w:rPr>
        <w:t>la</w:t>
      </w:r>
      <w:proofErr w:type="spellEnd"/>
      <w:r w:rsidRPr="008C75D5">
        <w:rPr>
          <w:rFonts w:ascii="Cambria" w:hAnsi="Cambria" w:cs="Arial"/>
          <w:bCs/>
          <w:i/>
        </w:rPr>
        <w:t xml:space="preserve"> </w:t>
      </w:r>
      <w:proofErr w:type="spellStart"/>
      <w:r w:rsidRPr="008C75D5">
        <w:rPr>
          <w:rFonts w:ascii="Cambria" w:hAnsi="Cambria" w:cs="Arial"/>
          <w:bCs/>
          <w:i/>
        </w:rPr>
        <w:t>garantía</w:t>
      </w:r>
      <w:proofErr w:type="spellEnd"/>
      <w:r w:rsidRPr="008C75D5">
        <w:rPr>
          <w:rFonts w:ascii="Cambria" w:hAnsi="Cambria" w:cs="Arial"/>
          <w:bCs/>
          <w:i/>
        </w:rPr>
        <w:t xml:space="preserve"> </w:t>
      </w:r>
      <w:proofErr w:type="spellStart"/>
      <w:r w:rsidRPr="008C75D5">
        <w:rPr>
          <w:rFonts w:ascii="Cambria" w:hAnsi="Cambria" w:cs="Arial"/>
          <w:bCs/>
          <w:i/>
        </w:rPr>
        <w:t>establecida</w:t>
      </w:r>
      <w:proofErr w:type="spellEnd"/>
      <w:r w:rsidRPr="008C75D5">
        <w:rPr>
          <w:rFonts w:ascii="Cambria" w:hAnsi="Cambria" w:cs="Arial"/>
          <w:bCs/>
          <w:i/>
        </w:rPr>
        <w:t xml:space="preserve"> </w:t>
      </w:r>
      <w:proofErr w:type="spellStart"/>
      <w:r w:rsidRPr="008C75D5">
        <w:rPr>
          <w:rFonts w:ascii="Cambria" w:hAnsi="Cambria" w:cs="Arial"/>
          <w:bCs/>
          <w:i/>
        </w:rPr>
        <w:t>en</w:t>
      </w:r>
      <w:proofErr w:type="spellEnd"/>
      <w:r w:rsidRPr="008C75D5">
        <w:rPr>
          <w:rFonts w:ascii="Cambria" w:hAnsi="Cambria" w:cs="Arial"/>
          <w:bCs/>
          <w:i/>
        </w:rPr>
        <w:t xml:space="preserve"> </w:t>
      </w:r>
      <w:proofErr w:type="spellStart"/>
      <w:r w:rsidRPr="008C75D5">
        <w:rPr>
          <w:rFonts w:ascii="Cambria" w:hAnsi="Cambria" w:cs="Arial"/>
          <w:bCs/>
          <w:i/>
        </w:rPr>
        <w:t>el</w:t>
      </w:r>
      <w:proofErr w:type="spellEnd"/>
      <w:r w:rsidRPr="008C75D5">
        <w:rPr>
          <w:rFonts w:ascii="Cambria" w:hAnsi="Cambria" w:cs="Arial"/>
          <w:bCs/>
          <w:i/>
        </w:rPr>
        <w:t xml:space="preserve"> artículo 7.5 de </w:t>
      </w:r>
      <w:proofErr w:type="spellStart"/>
      <w:r w:rsidRPr="008C75D5">
        <w:rPr>
          <w:rFonts w:ascii="Cambria" w:hAnsi="Cambria" w:cs="Arial"/>
          <w:bCs/>
          <w:i/>
        </w:rPr>
        <w:t>la</w:t>
      </w:r>
      <w:proofErr w:type="spellEnd"/>
      <w:r w:rsidRPr="008C75D5">
        <w:rPr>
          <w:rFonts w:ascii="Cambria" w:hAnsi="Cambria" w:cs="Arial"/>
          <w:bCs/>
          <w:i/>
        </w:rPr>
        <w:t xml:space="preserve"> </w:t>
      </w:r>
      <w:proofErr w:type="spellStart"/>
      <w:r w:rsidRPr="008C75D5">
        <w:rPr>
          <w:rFonts w:ascii="Cambria" w:hAnsi="Cambria" w:cs="Arial"/>
          <w:bCs/>
          <w:i/>
        </w:rPr>
        <w:t>Convención</w:t>
      </w:r>
      <w:proofErr w:type="spellEnd"/>
      <w:r w:rsidRPr="008C75D5">
        <w:rPr>
          <w:rFonts w:ascii="Cambria" w:hAnsi="Cambria" w:cs="Arial"/>
          <w:bCs/>
          <w:i/>
        </w:rPr>
        <w:t xml:space="preserve"> </w:t>
      </w:r>
      <w:proofErr w:type="spellStart"/>
      <w:r w:rsidRPr="008C75D5">
        <w:rPr>
          <w:rFonts w:ascii="Cambria" w:hAnsi="Cambria" w:cs="Arial"/>
          <w:bCs/>
          <w:i/>
        </w:rPr>
        <w:t>son</w:t>
      </w:r>
      <w:proofErr w:type="spellEnd"/>
      <w:r w:rsidRPr="008C75D5">
        <w:rPr>
          <w:rFonts w:ascii="Cambria" w:hAnsi="Cambria" w:cs="Arial"/>
          <w:bCs/>
          <w:i/>
        </w:rPr>
        <w:t xml:space="preserve"> claros </w:t>
      </w:r>
      <w:proofErr w:type="spellStart"/>
      <w:r w:rsidRPr="008C75D5">
        <w:rPr>
          <w:rFonts w:ascii="Cambria" w:hAnsi="Cambria" w:cs="Arial"/>
          <w:bCs/>
          <w:i/>
        </w:rPr>
        <w:t>en</w:t>
      </w:r>
      <w:proofErr w:type="spellEnd"/>
      <w:r w:rsidRPr="008C75D5">
        <w:rPr>
          <w:rFonts w:ascii="Cambria" w:hAnsi="Cambria" w:cs="Arial"/>
          <w:bCs/>
          <w:i/>
        </w:rPr>
        <w:t xml:space="preserve"> </w:t>
      </w:r>
      <w:proofErr w:type="spellStart"/>
      <w:r w:rsidRPr="008C75D5">
        <w:rPr>
          <w:rFonts w:ascii="Cambria" w:hAnsi="Cambria" w:cs="Arial"/>
          <w:bCs/>
          <w:i/>
        </w:rPr>
        <w:t>cuanto</w:t>
      </w:r>
      <w:proofErr w:type="spellEnd"/>
      <w:r w:rsidRPr="008C75D5">
        <w:rPr>
          <w:rFonts w:ascii="Cambria" w:hAnsi="Cambria" w:cs="Arial"/>
          <w:bCs/>
          <w:i/>
        </w:rPr>
        <w:t xml:space="preserve"> a que </w:t>
      </w:r>
      <w:proofErr w:type="spellStart"/>
      <w:r w:rsidRPr="008C75D5">
        <w:rPr>
          <w:rFonts w:ascii="Cambria" w:hAnsi="Cambria" w:cs="Arial"/>
          <w:bCs/>
          <w:i/>
        </w:rPr>
        <w:t>la</w:t>
      </w:r>
      <w:proofErr w:type="spellEnd"/>
      <w:r w:rsidRPr="008C75D5">
        <w:rPr>
          <w:rFonts w:ascii="Cambria" w:hAnsi="Cambria" w:cs="Arial"/>
          <w:bCs/>
          <w:i/>
        </w:rPr>
        <w:t xml:space="preserve"> persona </w:t>
      </w:r>
      <w:proofErr w:type="spellStart"/>
      <w:r w:rsidRPr="008C75D5">
        <w:rPr>
          <w:rFonts w:ascii="Cambria" w:hAnsi="Cambria" w:cs="Arial"/>
          <w:bCs/>
          <w:i/>
        </w:rPr>
        <w:t>detenida</w:t>
      </w:r>
      <w:proofErr w:type="spellEnd"/>
      <w:r w:rsidRPr="008C75D5">
        <w:rPr>
          <w:rFonts w:ascii="Cambria" w:hAnsi="Cambria" w:cs="Arial"/>
          <w:bCs/>
          <w:i/>
        </w:rPr>
        <w:t xml:space="preserve"> </w:t>
      </w:r>
      <w:proofErr w:type="spellStart"/>
      <w:r w:rsidRPr="008C75D5">
        <w:rPr>
          <w:rFonts w:ascii="Cambria" w:hAnsi="Cambria" w:cs="Arial"/>
          <w:bCs/>
          <w:i/>
        </w:rPr>
        <w:t>debe</w:t>
      </w:r>
      <w:proofErr w:type="spellEnd"/>
      <w:r w:rsidRPr="008C75D5">
        <w:rPr>
          <w:rFonts w:ascii="Cambria" w:hAnsi="Cambria" w:cs="Arial"/>
          <w:bCs/>
          <w:i/>
        </w:rPr>
        <w:t xml:space="preserve"> ser </w:t>
      </w:r>
      <w:proofErr w:type="spellStart"/>
      <w:r w:rsidRPr="008C75D5">
        <w:rPr>
          <w:rFonts w:ascii="Cambria" w:hAnsi="Cambria" w:cs="Arial"/>
          <w:bCs/>
          <w:i/>
        </w:rPr>
        <w:t>llevada</w:t>
      </w:r>
      <w:proofErr w:type="spellEnd"/>
      <w:r w:rsidRPr="008C75D5">
        <w:rPr>
          <w:rFonts w:ascii="Cambria" w:hAnsi="Cambria" w:cs="Arial"/>
          <w:bCs/>
          <w:i/>
        </w:rPr>
        <w:t xml:space="preserve"> </w:t>
      </w:r>
      <w:proofErr w:type="spellStart"/>
      <w:r w:rsidRPr="008C75D5">
        <w:rPr>
          <w:rFonts w:ascii="Cambria" w:hAnsi="Cambria" w:cs="Arial"/>
          <w:bCs/>
          <w:i/>
        </w:rPr>
        <w:t>sin</w:t>
      </w:r>
      <w:proofErr w:type="spellEnd"/>
      <w:r w:rsidRPr="008C75D5">
        <w:rPr>
          <w:rFonts w:ascii="Cambria" w:hAnsi="Cambria" w:cs="Arial"/>
          <w:bCs/>
          <w:i/>
        </w:rPr>
        <w:t xml:space="preserve"> demora ante </w:t>
      </w:r>
      <w:proofErr w:type="spellStart"/>
      <w:r w:rsidRPr="008C75D5">
        <w:rPr>
          <w:rFonts w:ascii="Cambria" w:hAnsi="Cambria" w:cs="Arial"/>
          <w:bCs/>
          <w:i/>
        </w:rPr>
        <w:t>un</w:t>
      </w:r>
      <w:proofErr w:type="spellEnd"/>
      <w:r w:rsidRPr="008C75D5">
        <w:rPr>
          <w:rFonts w:ascii="Cambria" w:hAnsi="Cambria" w:cs="Arial"/>
          <w:bCs/>
          <w:i/>
        </w:rPr>
        <w:t xml:space="preserve"> </w:t>
      </w:r>
      <w:proofErr w:type="spellStart"/>
      <w:r w:rsidRPr="008C75D5">
        <w:rPr>
          <w:rFonts w:ascii="Cambria" w:hAnsi="Cambria" w:cs="Arial"/>
          <w:bCs/>
          <w:i/>
        </w:rPr>
        <w:t>juez</w:t>
      </w:r>
      <w:proofErr w:type="spellEnd"/>
      <w:r w:rsidRPr="008C75D5">
        <w:rPr>
          <w:rFonts w:ascii="Cambria" w:hAnsi="Cambria" w:cs="Arial"/>
          <w:bCs/>
          <w:i/>
        </w:rPr>
        <w:t xml:space="preserve"> o </w:t>
      </w:r>
      <w:proofErr w:type="spellStart"/>
      <w:r w:rsidRPr="008C75D5">
        <w:rPr>
          <w:rFonts w:ascii="Cambria" w:hAnsi="Cambria" w:cs="Arial"/>
          <w:bCs/>
          <w:i/>
        </w:rPr>
        <w:t>autoridad</w:t>
      </w:r>
      <w:proofErr w:type="spellEnd"/>
      <w:r w:rsidRPr="008C75D5">
        <w:rPr>
          <w:rFonts w:ascii="Cambria" w:hAnsi="Cambria" w:cs="Arial"/>
          <w:bCs/>
          <w:i/>
        </w:rPr>
        <w:t xml:space="preserve"> judicial competente, conforme a </w:t>
      </w:r>
      <w:proofErr w:type="spellStart"/>
      <w:r w:rsidRPr="008C75D5">
        <w:rPr>
          <w:rFonts w:ascii="Cambria" w:hAnsi="Cambria" w:cs="Arial"/>
          <w:bCs/>
          <w:i/>
        </w:rPr>
        <w:t>los</w:t>
      </w:r>
      <w:proofErr w:type="spellEnd"/>
      <w:r w:rsidRPr="008C75D5">
        <w:rPr>
          <w:rFonts w:ascii="Cambria" w:hAnsi="Cambria" w:cs="Arial"/>
          <w:bCs/>
          <w:i/>
        </w:rPr>
        <w:t xml:space="preserve"> </w:t>
      </w:r>
      <w:proofErr w:type="spellStart"/>
      <w:r w:rsidRPr="008C75D5">
        <w:rPr>
          <w:rFonts w:ascii="Cambria" w:hAnsi="Cambria" w:cs="Arial"/>
          <w:bCs/>
          <w:i/>
        </w:rPr>
        <w:t>principios</w:t>
      </w:r>
      <w:proofErr w:type="spellEnd"/>
      <w:r w:rsidRPr="008C75D5">
        <w:rPr>
          <w:rFonts w:ascii="Cambria" w:hAnsi="Cambria" w:cs="Arial"/>
          <w:bCs/>
          <w:i/>
        </w:rPr>
        <w:t xml:space="preserve"> de </w:t>
      </w:r>
      <w:proofErr w:type="spellStart"/>
      <w:r w:rsidRPr="008C75D5">
        <w:rPr>
          <w:rFonts w:ascii="Cambria" w:hAnsi="Cambria" w:cs="Arial"/>
          <w:bCs/>
          <w:i/>
        </w:rPr>
        <w:t>control</w:t>
      </w:r>
      <w:proofErr w:type="spellEnd"/>
      <w:r w:rsidRPr="008C75D5">
        <w:rPr>
          <w:rFonts w:ascii="Cambria" w:hAnsi="Cambria" w:cs="Arial"/>
          <w:bCs/>
          <w:i/>
        </w:rPr>
        <w:t xml:space="preserve"> judicial e </w:t>
      </w:r>
      <w:proofErr w:type="spellStart"/>
      <w:r w:rsidRPr="008C75D5">
        <w:rPr>
          <w:rFonts w:ascii="Cambria" w:hAnsi="Cambria" w:cs="Arial"/>
          <w:bCs/>
          <w:i/>
        </w:rPr>
        <w:t>inmediación</w:t>
      </w:r>
      <w:proofErr w:type="spellEnd"/>
      <w:r w:rsidRPr="008C75D5">
        <w:rPr>
          <w:rFonts w:ascii="Cambria" w:hAnsi="Cambria" w:cs="Arial"/>
          <w:bCs/>
          <w:i/>
        </w:rPr>
        <w:t xml:space="preserve"> </w:t>
      </w:r>
      <w:proofErr w:type="spellStart"/>
      <w:r w:rsidRPr="008C75D5">
        <w:rPr>
          <w:rFonts w:ascii="Cambria" w:hAnsi="Cambria" w:cs="Arial"/>
          <w:bCs/>
          <w:i/>
        </w:rPr>
        <w:t>procesal</w:t>
      </w:r>
      <w:proofErr w:type="spellEnd"/>
      <w:r w:rsidRPr="008C75D5">
        <w:rPr>
          <w:rFonts w:ascii="Cambria" w:hAnsi="Cambria" w:cs="Arial"/>
          <w:bCs/>
          <w:i/>
        </w:rPr>
        <w:t xml:space="preserve">. </w:t>
      </w:r>
      <w:proofErr w:type="spellStart"/>
      <w:r w:rsidRPr="008C75D5">
        <w:rPr>
          <w:rFonts w:ascii="Cambria" w:hAnsi="Cambria" w:cs="Arial"/>
          <w:bCs/>
          <w:i/>
        </w:rPr>
        <w:t>Esto</w:t>
      </w:r>
      <w:proofErr w:type="spellEnd"/>
      <w:r w:rsidRPr="008C75D5">
        <w:rPr>
          <w:rFonts w:ascii="Cambria" w:hAnsi="Cambria" w:cs="Arial"/>
          <w:bCs/>
          <w:i/>
        </w:rPr>
        <w:t xml:space="preserve"> es </w:t>
      </w:r>
      <w:proofErr w:type="spellStart"/>
      <w:r w:rsidRPr="008C75D5">
        <w:rPr>
          <w:rFonts w:ascii="Cambria" w:hAnsi="Cambria" w:cs="Arial"/>
          <w:bCs/>
          <w:i/>
        </w:rPr>
        <w:t>esencial</w:t>
      </w:r>
      <w:proofErr w:type="spellEnd"/>
      <w:r w:rsidRPr="008C75D5">
        <w:rPr>
          <w:rFonts w:ascii="Cambria" w:hAnsi="Cambria" w:cs="Arial"/>
          <w:bCs/>
          <w:i/>
        </w:rPr>
        <w:t xml:space="preserve"> para </w:t>
      </w:r>
      <w:proofErr w:type="spellStart"/>
      <w:r w:rsidRPr="008C75D5">
        <w:rPr>
          <w:rFonts w:ascii="Cambria" w:hAnsi="Cambria" w:cs="Arial"/>
          <w:bCs/>
          <w:i/>
        </w:rPr>
        <w:t>la</w:t>
      </w:r>
      <w:proofErr w:type="spellEnd"/>
      <w:r w:rsidRPr="008C75D5">
        <w:rPr>
          <w:rFonts w:ascii="Cambria" w:hAnsi="Cambria" w:cs="Arial"/>
          <w:bCs/>
          <w:i/>
        </w:rPr>
        <w:t xml:space="preserve"> </w:t>
      </w:r>
      <w:proofErr w:type="spellStart"/>
      <w:r w:rsidRPr="008C75D5">
        <w:rPr>
          <w:rFonts w:ascii="Cambria" w:hAnsi="Cambria" w:cs="Arial"/>
          <w:bCs/>
          <w:i/>
        </w:rPr>
        <w:t>protección</w:t>
      </w:r>
      <w:proofErr w:type="spellEnd"/>
      <w:r w:rsidRPr="008C75D5">
        <w:rPr>
          <w:rFonts w:ascii="Cambria" w:hAnsi="Cambria" w:cs="Arial"/>
          <w:bCs/>
          <w:i/>
        </w:rPr>
        <w:t xml:space="preserve"> </w:t>
      </w:r>
      <w:proofErr w:type="spellStart"/>
      <w:r w:rsidRPr="008C75D5">
        <w:rPr>
          <w:rFonts w:ascii="Cambria" w:hAnsi="Cambria" w:cs="Arial"/>
          <w:bCs/>
          <w:i/>
        </w:rPr>
        <w:t>del</w:t>
      </w:r>
      <w:proofErr w:type="spellEnd"/>
      <w:r w:rsidRPr="008C75D5">
        <w:rPr>
          <w:rFonts w:ascii="Cambria" w:hAnsi="Cambria" w:cs="Arial"/>
          <w:bCs/>
          <w:i/>
        </w:rPr>
        <w:t xml:space="preserve"> </w:t>
      </w:r>
      <w:proofErr w:type="spellStart"/>
      <w:r w:rsidRPr="008C75D5">
        <w:rPr>
          <w:rFonts w:ascii="Cambria" w:hAnsi="Cambria" w:cs="Arial"/>
          <w:bCs/>
          <w:i/>
        </w:rPr>
        <w:t>derecho</w:t>
      </w:r>
      <w:proofErr w:type="spellEnd"/>
      <w:r w:rsidRPr="008C75D5">
        <w:rPr>
          <w:rFonts w:ascii="Cambria" w:hAnsi="Cambria" w:cs="Arial"/>
          <w:bCs/>
          <w:i/>
        </w:rPr>
        <w:t xml:space="preserve"> a </w:t>
      </w:r>
      <w:proofErr w:type="spellStart"/>
      <w:r w:rsidRPr="008C75D5">
        <w:rPr>
          <w:rFonts w:ascii="Cambria" w:hAnsi="Cambria" w:cs="Arial"/>
          <w:bCs/>
          <w:i/>
        </w:rPr>
        <w:t>la</w:t>
      </w:r>
      <w:proofErr w:type="spellEnd"/>
      <w:r w:rsidRPr="008C75D5">
        <w:rPr>
          <w:rFonts w:ascii="Cambria" w:hAnsi="Cambria" w:cs="Arial"/>
          <w:bCs/>
          <w:i/>
        </w:rPr>
        <w:t xml:space="preserve"> </w:t>
      </w:r>
      <w:proofErr w:type="spellStart"/>
      <w:r w:rsidRPr="008C75D5">
        <w:rPr>
          <w:rFonts w:ascii="Cambria" w:hAnsi="Cambria" w:cs="Arial"/>
          <w:bCs/>
          <w:i/>
        </w:rPr>
        <w:t>libertad</w:t>
      </w:r>
      <w:proofErr w:type="spellEnd"/>
      <w:r w:rsidRPr="008C75D5">
        <w:rPr>
          <w:rFonts w:ascii="Cambria" w:hAnsi="Cambria" w:cs="Arial"/>
          <w:bCs/>
          <w:i/>
        </w:rPr>
        <w:t xml:space="preserve"> </w:t>
      </w:r>
      <w:proofErr w:type="spellStart"/>
      <w:r w:rsidRPr="008C75D5">
        <w:rPr>
          <w:rFonts w:ascii="Cambria" w:hAnsi="Cambria" w:cs="Arial"/>
          <w:bCs/>
          <w:i/>
        </w:rPr>
        <w:t>personal</w:t>
      </w:r>
      <w:proofErr w:type="spellEnd"/>
      <w:r w:rsidRPr="008C75D5">
        <w:rPr>
          <w:rFonts w:ascii="Cambria" w:hAnsi="Cambria" w:cs="Arial"/>
          <w:bCs/>
          <w:i/>
        </w:rPr>
        <w:t xml:space="preserve"> y para </w:t>
      </w:r>
      <w:proofErr w:type="spellStart"/>
      <w:r w:rsidRPr="008C75D5">
        <w:rPr>
          <w:rFonts w:ascii="Cambria" w:hAnsi="Cambria" w:cs="Arial"/>
          <w:bCs/>
          <w:i/>
        </w:rPr>
        <w:t>otorgar</w:t>
      </w:r>
      <w:proofErr w:type="spellEnd"/>
      <w:r w:rsidRPr="008C75D5">
        <w:rPr>
          <w:rFonts w:ascii="Cambria" w:hAnsi="Cambria" w:cs="Arial"/>
          <w:bCs/>
          <w:i/>
        </w:rPr>
        <w:t xml:space="preserve"> </w:t>
      </w:r>
      <w:proofErr w:type="spellStart"/>
      <w:r w:rsidRPr="008C75D5">
        <w:rPr>
          <w:rFonts w:ascii="Cambria" w:hAnsi="Cambria" w:cs="Arial"/>
          <w:bCs/>
          <w:i/>
        </w:rPr>
        <w:t>protección</w:t>
      </w:r>
      <w:proofErr w:type="spellEnd"/>
      <w:r w:rsidRPr="008C75D5">
        <w:rPr>
          <w:rFonts w:ascii="Cambria" w:hAnsi="Cambria" w:cs="Arial"/>
          <w:bCs/>
          <w:i/>
        </w:rPr>
        <w:t xml:space="preserve"> a </w:t>
      </w:r>
      <w:proofErr w:type="spellStart"/>
      <w:r w:rsidRPr="008C75D5">
        <w:rPr>
          <w:rFonts w:ascii="Cambria" w:hAnsi="Cambria" w:cs="Arial"/>
          <w:bCs/>
          <w:i/>
        </w:rPr>
        <w:t>otros</w:t>
      </w:r>
      <w:proofErr w:type="spellEnd"/>
      <w:r w:rsidRPr="008C75D5">
        <w:rPr>
          <w:rFonts w:ascii="Cambria" w:hAnsi="Cambria" w:cs="Arial"/>
          <w:bCs/>
          <w:i/>
        </w:rPr>
        <w:t xml:space="preserve"> </w:t>
      </w:r>
      <w:proofErr w:type="spellStart"/>
      <w:r w:rsidRPr="008C75D5">
        <w:rPr>
          <w:rFonts w:ascii="Cambria" w:hAnsi="Cambria" w:cs="Arial"/>
          <w:bCs/>
          <w:i/>
        </w:rPr>
        <w:t>derechos</w:t>
      </w:r>
      <w:proofErr w:type="spellEnd"/>
      <w:r w:rsidRPr="008C75D5">
        <w:rPr>
          <w:rFonts w:ascii="Cambria" w:hAnsi="Cambria" w:cs="Arial"/>
          <w:bCs/>
          <w:i/>
        </w:rPr>
        <w:t xml:space="preserve">, como </w:t>
      </w:r>
      <w:proofErr w:type="spellStart"/>
      <w:r w:rsidRPr="008C75D5">
        <w:rPr>
          <w:rFonts w:ascii="Cambria" w:hAnsi="Cambria" w:cs="Arial"/>
          <w:bCs/>
          <w:i/>
        </w:rPr>
        <w:t>la</w:t>
      </w:r>
      <w:proofErr w:type="spellEnd"/>
      <w:r w:rsidRPr="008C75D5">
        <w:rPr>
          <w:rFonts w:ascii="Cambria" w:hAnsi="Cambria" w:cs="Arial"/>
          <w:bCs/>
          <w:i/>
        </w:rPr>
        <w:t xml:space="preserve"> vida y </w:t>
      </w:r>
      <w:proofErr w:type="spellStart"/>
      <w:r w:rsidRPr="008C75D5">
        <w:rPr>
          <w:rFonts w:ascii="Cambria" w:hAnsi="Cambria" w:cs="Arial"/>
          <w:bCs/>
          <w:i/>
        </w:rPr>
        <w:t>la</w:t>
      </w:r>
      <w:proofErr w:type="spellEnd"/>
      <w:r w:rsidRPr="008C75D5">
        <w:rPr>
          <w:rFonts w:ascii="Cambria" w:hAnsi="Cambria" w:cs="Arial"/>
          <w:bCs/>
          <w:i/>
        </w:rPr>
        <w:t xml:space="preserve"> </w:t>
      </w:r>
      <w:proofErr w:type="spellStart"/>
      <w:r w:rsidRPr="008C75D5">
        <w:rPr>
          <w:rFonts w:ascii="Cambria" w:hAnsi="Cambria" w:cs="Arial"/>
          <w:bCs/>
          <w:i/>
        </w:rPr>
        <w:t>integridad</w:t>
      </w:r>
      <w:proofErr w:type="spellEnd"/>
      <w:r w:rsidRPr="008C75D5">
        <w:rPr>
          <w:rFonts w:ascii="Cambria" w:hAnsi="Cambria" w:cs="Arial"/>
          <w:bCs/>
          <w:i/>
        </w:rPr>
        <w:t xml:space="preserve"> </w:t>
      </w:r>
      <w:proofErr w:type="spellStart"/>
      <w:r w:rsidRPr="008C75D5">
        <w:rPr>
          <w:rFonts w:ascii="Cambria" w:hAnsi="Cambria" w:cs="Arial"/>
          <w:bCs/>
          <w:i/>
        </w:rPr>
        <w:t>personal</w:t>
      </w:r>
      <w:proofErr w:type="spellEnd"/>
      <w:r w:rsidRPr="008C75D5">
        <w:rPr>
          <w:rFonts w:ascii="Cambria" w:hAnsi="Cambria" w:cs="Arial"/>
          <w:bCs/>
          <w:i/>
        </w:rPr>
        <w:t xml:space="preserve">. El </w:t>
      </w:r>
      <w:proofErr w:type="spellStart"/>
      <w:r w:rsidRPr="008C75D5">
        <w:rPr>
          <w:rFonts w:ascii="Cambria" w:hAnsi="Cambria" w:cs="Arial"/>
          <w:bCs/>
          <w:i/>
        </w:rPr>
        <w:t>simple</w:t>
      </w:r>
      <w:proofErr w:type="spellEnd"/>
      <w:r w:rsidRPr="008C75D5">
        <w:rPr>
          <w:rFonts w:ascii="Cambria" w:hAnsi="Cambria" w:cs="Arial"/>
          <w:bCs/>
          <w:i/>
        </w:rPr>
        <w:t xml:space="preserve"> </w:t>
      </w:r>
      <w:proofErr w:type="spellStart"/>
      <w:r w:rsidRPr="008C75D5">
        <w:rPr>
          <w:rFonts w:ascii="Cambria" w:hAnsi="Cambria" w:cs="Arial"/>
          <w:bCs/>
          <w:i/>
        </w:rPr>
        <w:t>conocimiento</w:t>
      </w:r>
      <w:proofErr w:type="spellEnd"/>
      <w:r w:rsidRPr="008C75D5">
        <w:rPr>
          <w:rFonts w:ascii="Cambria" w:hAnsi="Cambria" w:cs="Arial"/>
          <w:bCs/>
          <w:i/>
        </w:rPr>
        <w:t xml:space="preserve"> por parte de </w:t>
      </w:r>
      <w:proofErr w:type="spellStart"/>
      <w:r w:rsidRPr="008C75D5">
        <w:rPr>
          <w:rFonts w:ascii="Cambria" w:hAnsi="Cambria" w:cs="Arial"/>
          <w:bCs/>
          <w:i/>
        </w:rPr>
        <w:t>un</w:t>
      </w:r>
      <w:proofErr w:type="spellEnd"/>
      <w:r w:rsidRPr="008C75D5">
        <w:rPr>
          <w:rFonts w:ascii="Cambria" w:hAnsi="Cambria" w:cs="Arial"/>
          <w:bCs/>
          <w:i/>
        </w:rPr>
        <w:t xml:space="preserve"> </w:t>
      </w:r>
      <w:proofErr w:type="spellStart"/>
      <w:r w:rsidRPr="008C75D5">
        <w:rPr>
          <w:rFonts w:ascii="Cambria" w:hAnsi="Cambria" w:cs="Arial"/>
          <w:bCs/>
          <w:i/>
        </w:rPr>
        <w:t>juez</w:t>
      </w:r>
      <w:proofErr w:type="spellEnd"/>
      <w:r w:rsidRPr="008C75D5">
        <w:rPr>
          <w:rFonts w:ascii="Cambria" w:hAnsi="Cambria" w:cs="Arial"/>
          <w:bCs/>
          <w:i/>
        </w:rPr>
        <w:t xml:space="preserve"> de que una persona está </w:t>
      </w:r>
      <w:proofErr w:type="spellStart"/>
      <w:r w:rsidRPr="008C75D5">
        <w:rPr>
          <w:rFonts w:ascii="Cambria" w:hAnsi="Cambria" w:cs="Arial"/>
          <w:bCs/>
          <w:i/>
        </w:rPr>
        <w:t>detenida</w:t>
      </w:r>
      <w:proofErr w:type="spellEnd"/>
      <w:r w:rsidRPr="008C75D5">
        <w:rPr>
          <w:rFonts w:ascii="Cambria" w:hAnsi="Cambria" w:cs="Arial"/>
          <w:bCs/>
          <w:i/>
        </w:rPr>
        <w:t xml:space="preserve"> no </w:t>
      </w:r>
      <w:proofErr w:type="spellStart"/>
      <w:r w:rsidRPr="008C75D5">
        <w:rPr>
          <w:rFonts w:ascii="Cambria" w:hAnsi="Cambria" w:cs="Arial"/>
          <w:bCs/>
          <w:i/>
        </w:rPr>
        <w:t>satisface</w:t>
      </w:r>
      <w:proofErr w:type="spellEnd"/>
      <w:r w:rsidRPr="008C75D5">
        <w:rPr>
          <w:rFonts w:ascii="Cambria" w:hAnsi="Cambria" w:cs="Arial"/>
          <w:bCs/>
          <w:i/>
        </w:rPr>
        <w:t xml:space="preserve"> </w:t>
      </w:r>
      <w:proofErr w:type="spellStart"/>
      <w:r w:rsidRPr="008C75D5">
        <w:rPr>
          <w:rFonts w:ascii="Cambria" w:hAnsi="Cambria" w:cs="Arial"/>
          <w:bCs/>
          <w:i/>
        </w:rPr>
        <w:t>esa</w:t>
      </w:r>
      <w:proofErr w:type="spellEnd"/>
      <w:r w:rsidRPr="008C75D5">
        <w:rPr>
          <w:rFonts w:ascii="Cambria" w:hAnsi="Cambria" w:cs="Arial"/>
          <w:bCs/>
          <w:i/>
        </w:rPr>
        <w:t xml:space="preserve"> </w:t>
      </w:r>
      <w:proofErr w:type="spellStart"/>
      <w:r w:rsidRPr="008C75D5">
        <w:rPr>
          <w:rFonts w:ascii="Cambria" w:hAnsi="Cambria" w:cs="Arial"/>
          <w:bCs/>
          <w:i/>
        </w:rPr>
        <w:t>garantía</w:t>
      </w:r>
      <w:proofErr w:type="spellEnd"/>
      <w:r w:rsidRPr="008C75D5">
        <w:rPr>
          <w:rFonts w:ascii="Cambria" w:hAnsi="Cambria" w:cs="Arial"/>
          <w:bCs/>
          <w:i/>
        </w:rPr>
        <w:t xml:space="preserve">, </w:t>
      </w:r>
      <w:proofErr w:type="spellStart"/>
      <w:r w:rsidRPr="008C75D5">
        <w:rPr>
          <w:rFonts w:ascii="Cambria" w:hAnsi="Cambria" w:cs="Arial"/>
          <w:bCs/>
          <w:i/>
        </w:rPr>
        <w:t>ya</w:t>
      </w:r>
      <w:proofErr w:type="spellEnd"/>
      <w:r w:rsidRPr="008C75D5">
        <w:rPr>
          <w:rFonts w:ascii="Cambria" w:hAnsi="Cambria" w:cs="Arial"/>
          <w:bCs/>
          <w:i/>
        </w:rPr>
        <w:t xml:space="preserve"> que </w:t>
      </w:r>
      <w:proofErr w:type="spellStart"/>
      <w:r w:rsidRPr="008C75D5">
        <w:rPr>
          <w:rFonts w:ascii="Cambria" w:hAnsi="Cambria" w:cs="Arial"/>
          <w:bCs/>
          <w:i/>
        </w:rPr>
        <w:t>el</w:t>
      </w:r>
      <w:proofErr w:type="spellEnd"/>
      <w:r w:rsidRPr="008C75D5">
        <w:rPr>
          <w:rFonts w:ascii="Cambria" w:hAnsi="Cambria" w:cs="Arial"/>
          <w:bCs/>
          <w:i/>
        </w:rPr>
        <w:t xml:space="preserve"> </w:t>
      </w:r>
      <w:proofErr w:type="spellStart"/>
      <w:r w:rsidRPr="008C75D5">
        <w:rPr>
          <w:rFonts w:ascii="Cambria" w:hAnsi="Cambria" w:cs="Arial"/>
          <w:bCs/>
          <w:i/>
        </w:rPr>
        <w:t>detenido</w:t>
      </w:r>
      <w:proofErr w:type="spellEnd"/>
      <w:r w:rsidRPr="008C75D5">
        <w:rPr>
          <w:rFonts w:ascii="Cambria" w:hAnsi="Cambria" w:cs="Arial"/>
          <w:bCs/>
          <w:i/>
        </w:rPr>
        <w:t xml:space="preserve"> </w:t>
      </w:r>
      <w:proofErr w:type="spellStart"/>
      <w:r w:rsidRPr="008C75D5">
        <w:rPr>
          <w:rFonts w:ascii="Cambria" w:hAnsi="Cambria" w:cs="Arial"/>
          <w:bCs/>
          <w:i/>
        </w:rPr>
        <w:t>debe</w:t>
      </w:r>
      <w:proofErr w:type="spellEnd"/>
      <w:r w:rsidRPr="008C75D5">
        <w:rPr>
          <w:rFonts w:ascii="Cambria" w:hAnsi="Cambria" w:cs="Arial"/>
          <w:bCs/>
          <w:i/>
        </w:rPr>
        <w:t xml:space="preserve"> comparecer </w:t>
      </w:r>
      <w:proofErr w:type="spellStart"/>
      <w:r w:rsidRPr="008C75D5">
        <w:rPr>
          <w:rFonts w:ascii="Cambria" w:hAnsi="Cambria" w:cs="Arial"/>
          <w:bCs/>
          <w:i/>
        </w:rPr>
        <w:t>personalmente</w:t>
      </w:r>
      <w:proofErr w:type="spellEnd"/>
      <w:r w:rsidRPr="008C75D5">
        <w:rPr>
          <w:rFonts w:ascii="Cambria" w:hAnsi="Cambria" w:cs="Arial"/>
          <w:bCs/>
          <w:i/>
        </w:rPr>
        <w:t xml:space="preserve"> y </w:t>
      </w:r>
      <w:proofErr w:type="spellStart"/>
      <w:r w:rsidRPr="008C75D5">
        <w:rPr>
          <w:rFonts w:ascii="Cambria" w:hAnsi="Cambria" w:cs="Arial"/>
          <w:bCs/>
          <w:i/>
        </w:rPr>
        <w:t>rendir</w:t>
      </w:r>
      <w:proofErr w:type="spellEnd"/>
      <w:r w:rsidRPr="008C75D5">
        <w:rPr>
          <w:rFonts w:ascii="Cambria" w:hAnsi="Cambria" w:cs="Arial"/>
          <w:bCs/>
          <w:i/>
        </w:rPr>
        <w:t xml:space="preserve"> </w:t>
      </w:r>
      <w:proofErr w:type="spellStart"/>
      <w:r w:rsidRPr="008C75D5">
        <w:rPr>
          <w:rFonts w:ascii="Cambria" w:hAnsi="Cambria" w:cs="Arial"/>
          <w:bCs/>
          <w:i/>
        </w:rPr>
        <w:t>su</w:t>
      </w:r>
      <w:proofErr w:type="spellEnd"/>
      <w:r w:rsidRPr="008C75D5">
        <w:rPr>
          <w:rFonts w:ascii="Cambria" w:hAnsi="Cambria" w:cs="Arial"/>
          <w:bCs/>
          <w:i/>
        </w:rPr>
        <w:t xml:space="preserve"> </w:t>
      </w:r>
      <w:proofErr w:type="spellStart"/>
      <w:r w:rsidRPr="008C75D5">
        <w:rPr>
          <w:rFonts w:ascii="Cambria" w:hAnsi="Cambria" w:cs="Arial"/>
          <w:bCs/>
          <w:i/>
        </w:rPr>
        <w:t>declaración</w:t>
      </w:r>
      <w:proofErr w:type="spellEnd"/>
      <w:r w:rsidRPr="008C75D5">
        <w:rPr>
          <w:rFonts w:ascii="Cambria" w:hAnsi="Cambria" w:cs="Arial"/>
          <w:bCs/>
          <w:i/>
        </w:rPr>
        <w:t xml:space="preserve"> ante </w:t>
      </w:r>
      <w:proofErr w:type="spellStart"/>
      <w:r w:rsidRPr="008C75D5">
        <w:rPr>
          <w:rFonts w:ascii="Cambria" w:hAnsi="Cambria" w:cs="Arial"/>
          <w:bCs/>
          <w:i/>
        </w:rPr>
        <w:t>el</w:t>
      </w:r>
      <w:proofErr w:type="spellEnd"/>
      <w:r w:rsidRPr="008C75D5">
        <w:rPr>
          <w:rFonts w:ascii="Cambria" w:hAnsi="Cambria" w:cs="Arial"/>
          <w:bCs/>
          <w:i/>
        </w:rPr>
        <w:t xml:space="preserve"> </w:t>
      </w:r>
      <w:proofErr w:type="spellStart"/>
      <w:r w:rsidRPr="008C75D5">
        <w:rPr>
          <w:rFonts w:ascii="Cambria" w:hAnsi="Cambria" w:cs="Arial"/>
          <w:bCs/>
          <w:i/>
        </w:rPr>
        <w:t>juez</w:t>
      </w:r>
      <w:proofErr w:type="spellEnd"/>
      <w:r w:rsidRPr="008C75D5">
        <w:rPr>
          <w:rFonts w:ascii="Cambria" w:hAnsi="Cambria" w:cs="Arial"/>
          <w:bCs/>
          <w:i/>
        </w:rPr>
        <w:t xml:space="preserve"> o </w:t>
      </w:r>
      <w:proofErr w:type="spellStart"/>
      <w:r w:rsidRPr="008C75D5">
        <w:rPr>
          <w:rFonts w:ascii="Cambria" w:hAnsi="Cambria" w:cs="Arial"/>
          <w:bCs/>
          <w:i/>
        </w:rPr>
        <w:t>autoridad</w:t>
      </w:r>
      <w:proofErr w:type="spellEnd"/>
      <w:r w:rsidRPr="008C75D5">
        <w:rPr>
          <w:rFonts w:ascii="Cambria" w:hAnsi="Cambria" w:cs="Arial"/>
          <w:bCs/>
          <w:i/>
        </w:rPr>
        <w:t xml:space="preserve"> competente.</w:t>
      </w:r>
      <w:r w:rsidRPr="008C75D5">
        <w:rPr>
          <w:rFonts w:ascii="Cambria" w:hAnsi="Cambria" w:cs="Arial"/>
          <w:bCs/>
        </w:rPr>
        <w:t xml:space="preserve">” (Caso Acosta Calderón Vs. Equador. Sentença de 24/06/2005).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w:t>
      </w:r>
      <w:r w:rsidRPr="008C75D5">
        <w:rPr>
          <w:rFonts w:ascii="Cambria" w:hAnsi="Cambria" w:cs="Arial"/>
          <w:bCs/>
          <w:i/>
        </w:rPr>
        <w:t xml:space="preserve">118. Este Tribunal estima </w:t>
      </w:r>
      <w:proofErr w:type="spellStart"/>
      <w:r w:rsidRPr="008C75D5">
        <w:rPr>
          <w:rFonts w:ascii="Cambria" w:hAnsi="Cambria" w:cs="Arial"/>
          <w:bCs/>
          <w:i/>
        </w:rPr>
        <w:t>necesario</w:t>
      </w:r>
      <w:proofErr w:type="spellEnd"/>
      <w:r w:rsidRPr="008C75D5">
        <w:rPr>
          <w:rFonts w:ascii="Cambria" w:hAnsi="Cambria" w:cs="Arial"/>
          <w:bCs/>
          <w:i/>
        </w:rPr>
        <w:t xml:space="preserve"> realizar </w:t>
      </w:r>
      <w:proofErr w:type="spellStart"/>
      <w:r w:rsidRPr="008C75D5">
        <w:rPr>
          <w:rFonts w:ascii="Cambria" w:hAnsi="Cambria" w:cs="Arial"/>
          <w:bCs/>
          <w:i/>
        </w:rPr>
        <w:t>algunas</w:t>
      </w:r>
      <w:proofErr w:type="spellEnd"/>
      <w:r w:rsidRPr="008C75D5">
        <w:rPr>
          <w:rFonts w:ascii="Cambria" w:hAnsi="Cambria" w:cs="Arial"/>
          <w:bCs/>
          <w:i/>
        </w:rPr>
        <w:t xml:space="preserve"> </w:t>
      </w:r>
      <w:proofErr w:type="spellStart"/>
      <w:r w:rsidRPr="008C75D5">
        <w:rPr>
          <w:rFonts w:ascii="Cambria" w:hAnsi="Cambria" w:cs="Arial"/>
          <w:bCs/>
          <w:i/>
        </w:rPr>
        <w:t>precisiones</w:t>
      </w:r>
      <w:proofErr w:type="spellEnd"/>
      <w:r w:rsidRPr="008C75D5">
        <w:rPr>
          <w:rFonts w:ascii="Cambria" w:hAnsi="Cambria" w:cs="Arial"/>
          <w:bCs/>
          <w:i/>
        </w:rPr>
        <w:t xml:space="preserve"> sobre este </w:t>
      </w:r>
      <w:proofErr w:type="spellStart"/>
      <w:r w:rsidRPr="008C75D5">
        <w:rPr>
          <w:rFonts w:ascii="Cambria" w:hAnsi="Cambria" w:cs="Arial"/>
          <w:bCs/>
          <w:i/>
        </w:rPr>
        <w:t>punto</w:t>
      </w:r>
      <w:proofErr w:type="spellEnd"/>
      <w:r w:rsidRPr="008C75D5">
        <w:rPr>
          <w:rFonts w:ascii="Cambria" w:hAnsi="Cambria" w:cs="Arial"/>
          <w:bCs/>
          <w:i/>
        </w:rPr>
        <w:t xml:space="preserve">. </w:t>
      </w:r>
      <w:proofErr w:type="spellStart"/>
      <w:r w:rsidRPr="008C75D5">
        <w:rPr>
          <w:rFonts w:ascii="Cambria" w:hAnsi="Cambria" w:cs="Arial"/>
          <w:bCs/>
          <w:i/>
        </w:rPr>
        <w:t>En</w:t>
      </w:r>
      <w:proofErr w:type="spellEnd"/>
      <w:r w:rsidRPr="008C75D5">
        <w:rPr>
          <w:rFonts w:ascii="Cambria" w:hAnsi="Cambria" w:cs="Arial"/>
          <w:bCs/>
          <w:i/>
        </w:rPr>
        <w:t xml:space="preserve"> primer lugar, </w:t>
      </w:r>
      <w:proofErr w:type="spellStart"/>
      <w:r w:rsidRPr="008C75D5">
        <w:rPr>
          <w:rFonts w:ascii="Cambria" w:hAnsi="Cambria" w:cs="Arial"/>
          <w:bCs/>
          <w:i/>
        </w:rPr>
        <w:t>los</w:t>
      </w:r>
      <w:proofErr w:type="spellEnd"/>
      <w:r w:rsidRPr="008C75D5">
        <w:rPr>
          <w:rFonts w:ascii="Cambria" w:hAnsi="Cambria" w:cs="Arial"/>
          <w:bCs/>
          <w:i/>
        </w:rPr>
        <w:t xml:space="preserve"> términos de </w:t>
      </w:r>
      <w:proofErr w:type="spellStart"/>
      <w:r w:rsidRPr="008C75D5">
        <w:rPr>
          <w:rFonts w:ascii="Cambria" w:hAnsi="Cambria" w:cs="Arial"/>
          <w:bCs/>
          <w:i/>
        </w:rPr>
        <w:t>la</w:t>
      </w:r>
      <w:proofErr w:type="spellEnd"/>
      <w:r w:rsidRPr="008C75D5">
        <w:rPr>
          <w:rFonts w:ascii="Cambria" w:hAnsi="Cambria" w:cs="Arial"/>
          <w:bCs/>
          <w:i/>
        </w:rPr>
        <w:t xml:space="preserve"> </w:t>
      </w:r>
      <w:proofErr w:type="spellStart"/>
      <w:r w:rsidRPr="008C75D5">
        <w:rPr>
          <w:rFonts w:ascii="Cambria" w:hAnsi="Cambria" w:cs="Arial"/>
          <w:bCs/>
          <w:i/>
        </w:rPr>
        <w:t>garantía</w:t>
      </w:r>
      <w:proofErr w:type="spellEnd"/>
      <w:r w:rsidRPr="008C75D5">
        <w:rPr>
          <w:rFonts w:ascii="Cambria" w:hAnsi="Cambria" w:cs="Arial"/>
          <w:bCs/>
          <w:i/>
        </w:rPr>
        <w:t xml:space="preserve"> </w:t>
      </w:r>
      <w:proofErr w:type="spellStart"/>
      <w:r w:rsidRPr="008C75D5">
        <w:rPr>
          <w:rFonts w:ascii="Cambria" w:hAnsi="Cambria" w:cs="Arial"/>
          <w:bCs/>
          <w:i/>
        </w:rPr>
        <w:t>establecida</w:t>
      </w:r>
      <w:proofErr w:type="spellEnd"/>
      <w:r w:rsidRPr="008C75D5">
        <w:rPr>
          <w:rFonts w:ascii="Cambria" w:hAnsi="Cambria" w:cs="Arial"/>
          <w:bCs/>
          <w:i/>
        </w:rPr>
        <w:t xml:space="preserve"> </w:t>
      </w:r>
      <w:proofErr w:type="spellStart"/>
      <w:r w:rsidRPr="008C75D5">
        <w:rPr>
          <w:rFonts w:ascii="Cambria" w:hAnsi="Cambria" w:cs="Arial"/>
          <w:bCs/>
          <w:i/>
        </w:rPr>
        <w:t>en</w:t>
      </w:r>
      <w:proofErr w:type="spellEnd"/>
      <w:r w:rsidRPr="008C75D5">
        <w:rPr>
          <w:rFonts w:ascii="Cambria" w:hAnsi="Cambria" w:cs="Arial"/>
          <w:bCs/>
          <w:i/>
        </w:rPr>
        <w:t xml:space="preserve"> </w:t>
      </w:r>
      <w:proofErr w:type="spellStart"/>
      <w:r w:rsidRPr="008C75D5">
        <w:rPr>
          <w:rFonts w:ascii="Cambria" w:hAnsi="Cambria" w:cs="Arial"/>
          <w:bCs/>
          <w:i/>
        </w:rPr>
        <w:t>el</w:t>
      </w:r>
      <w:proofErr w:type="spellEnd"/>
      <w:r w:rsidRPr="008C75D5">
        <w:rPr>
          <w:rFonts w:ascii="Cambria" w:hAnsi="Cambria" w:cs="Arial"/>
          <w:bCs/>
          <w:i/>
        </w:rPr>
        <w:t xml:space="preserve"> artículo 7.5 de </w:t>
      </w:r>
      <w:proofErr w:type="spellStart"/>
      <w:r w:rsidRPr="008C75D5">
        <w:rPr>
          <w:rFonts w:ascii="Cambria" w:hAnsi="Cambria" w:cs="Arial"/>
          <w:bCs/>
          <w:i/>
        </w:rPr>
        <w:t>la</w:t>
      </w:r>
      <w:proofErr w:type="spellEnd"/>
      <w:r w:rsidRPr="008C75D5">
        <w:rPr>
          <w:rFonts w:ascii="Cambria" w:hAnsi="Cambria" w:cs="Arial"/>
          <w:bCs/>
          <w:i/>
        </w:rPr>
        <w:t xml:space="preserve"> </w:t>
      </w:r>
      <w:proofErr w:type="spellStart"/>
      <w:r w:rsidRPr="008C75D5">
        <w:rPr>
          <w:rFonts w:ascii="Cambria" w:hAnsi="Cambria" w:cs="Arial"/>
          <w:bCs/>
          <w:i/>
        </w:rPr>
        <w:lastRenderedPageBreak/>
        <w:t>Convención</w:t>
      </w:r>
      <w:proofErr w:type="spellEnd"/>
      <w:r w:rsidRPr="008C75D5">
        <w:rPr>
          <w:rFonts w:ascii="Cambria" w:hAnsi="Cambria" w:cs="Arial"/>
          <w:bCs/>
          <w:i/>
        </w:rPr>
        <w:t xml:space="preserve"> </w:t>
      </w:r>
      <w:proofErr w:type="spellStart"/>
      <w:r w:rsidRPr="008C75D5">
        <w:rPr>
          <w:rFonts w:ascii="Cambria" w:hAnsi="Cambria" w:cs="Arial"/>
          <w:bCs/>
          <w:i/>
        </w:rPr>
        <w:t>son</w:t>
      </w:r>
      <w:proofErr w:type="spellEnd"/>
      <w:r w:rsidRPr="008C75D5">
        <w:rPr>
          <w:rFonts w:ascii="Cambria" w:hAnsi="Cambria" w:cs="Arial"/>
          <w:bCs/>
          <w:i/>
        </w:rPr>
        <w:t xml:space="preserve"> claros </w:t>
      </w:r>
      <w:proofErr w:type="spellStart"/>
      <w:r w:rsidRPr="008C75D5">
        <w:rPr>
          <w:rFonts w:ascii="Cambria" w:hAnsi="Cambria" w:cs="Arial"/>
          <w:bCs/>
          <w:i/>
        </w:rPr>
        <w:t>en</w:t>
      </w:r>
      <w:proofErr w:type="spellEnd"/>
      <w:r w:rsidRPr="008C75D5">
        <w:rPr>
          <w:rFonts w:ascii="Cambria" w:hAnsi="Cambria" w:cs="Arial"/>
          <w:bCs/>
          <w:i/>
        </w:rPr>
        <w:t xml:space="preserve"> </w:t>
      </w:r>
      <w:proofErr w:type="spellStart"/>
      <w:r w:rsidRPr="008C75D5">
        <w:rPr>
          <w:rFonts w:ascii="Cambria" w:hAnsi="Cambria" w:cs="Arial"/>
          <w:bCs/>
          <w:i/>
        </w:rPr>
        <w:t>cuanto</w:t>
      </w:r>
      <w:proofErr w:type="spellEnd"/>
      <w:r w:rsidRPr="008C75D5">
        <w:rPr>
          <w:rFonts w:ascii="Cambria" w:hAnsi="Cambria" w:cs="Arial"/>
          <w:bCs/>
          <w:i/>
        </w:rPr>
        <w:t xml:space="preserve"> a que </w:t>
      </w:r>
      <w:proofErr w:type="spellStart"/>
      <w:r w:rsidRPr="008C75D5">
        <w:rPr>
          <w:rFonts w:ascii="Cambria" w:hAnsi="Cambria" w:cs="Arial"/>
          <w:bCs/>
          <w:i/>
        </w:rPr>
        <w:t>la</w:t>
      </w:r>
      <w:proofErr w:type="spellEnd"/>
      <w:r w:rsidRPr="008C75D5">
        <w:rPr>
          <w:rFonts w:ascii="Cambria" w:hAnsi="Cambria" w:cs="Arial"/>
          <w:bCs/>
          <w:i/>
        </w:rPr>
        <w:t xml:space="preserve"> persona </w:t>
      </w:r>
      <w:proofErr w:type="spellStart"/>
      <w:r w:rsidRPr="008C75D5">
        <w:rPr>
          <w:rFonts w:ascii="Cambria" w:hAnsi="Cambria" w:cs="Arial"/>
          <w:bCs/>
          <w:i/>
        </w:rPr>
        <w:t>detenida</w:t>
      </w:r>
      <w:proofErr w:type="spellEnd"/>
      <w:r w:rsidRPr="008C75D5">
        <w:rPr>
          <w:rFonts w:ascii="Cambria" w:hAnsi="Cambria" w:cs="Arial"/>
          <w:bCs/>
          <w:i/>
        </w:rPr>
        <w:t xml:space="preserve"> </w:t>
      </w:r>
      <w:proofErr w:type="spellStart"/>
      <w:r w:rsidRPr="008C75D5">
        <w:rPr>
          <w:rFonts w:ascii="Cambria" w:hAnsi="Cambria" w:cs="Arial"/>
          <w:bCs/>
          <w:i/>
        </w:rPr>
        <w:t>debe</w:t>
      </w:r>
      <w:proofErr w:type="spellEnd"/>
      <w:r w:rsidRPr="008C75D5">
        <w:rPr>
          <w:rFonts w:ascii="Cambria" w:hAnsi="Cambria" w:cs="Arial"/>
          <w:bCs/>
          <w:i/>
        </w:rPr>
        <w:t xml:space="preserve"> ser </w:t>
      </w:r>
      <w:proofErr w:type="spellStart"/>
      <w:r w:rsidRPr="008C75D5">
        <w:rPr>
          <w:rFonts w:ascii="Cambria" w:hAnsi="Cambria" w:cs="Arial"/>
          <w:bCs/>
          <w:i/>
        </w:rPr>
        <w:t>llevada</w:t>
      </w:r>
      <w:proofErr w:type="spellEnd"/>
      <w:r w:rsidRPr="008C75D5">
        <w:rPr>
          <w:rFonts w:ascii="Cambria" w:hAnsi="Cambria" w:cs="Arial"/>
          <w:bCs/>
          <w:i/>
        </w:rPr>
        <w:t xml:space="preserve"> </w:t>
      </w:r>
      <w:proofErr w:type="spellStart"/>
      <w:r w:rsidRPr="008C75D5">
        <w:rPr>
          <w:rFonts w:ascii="Cambria" w:hAnsi="Cambria" w:cs="Arial"/>
          <w:bCs/>
          <w:i/>
        </w:rPr>
        <w:t>sin</w:t>
      </w:r>
      <w:proofErr w:type="spellEnd"/>
      <w:r w:rsidRPr="008C75D5">
        <w:rPr>
          <w:rFonts w:ascii="Cambria" w:hAnsi="Cambria" w:cs="Arial"/>
          <w:bCs/>
          <w:i/>
        </w:rPr>
        <w:t xml:space="preserve"> demora ante </w:t>
      </w:r>
      <w:proofErr w:type="spellStart"/>
      <w:r w:rsidRPr="008C75D5">
        <w:rPr>
          <w:rFonts w:ascii="Cambria" w:hAnsi="Cambria" w:cs="Arial"/>
          <w:bCs/>
          <w:i/>
        </w:rPr>
        <w:t>un</w:t>
      </w:r>
      <w:proofErr w:type="spellEnd"/>
      <w:r w:rsidRPr="008C75D5">
        <w:rPr>
          <w:rFonts w:ascii="Cambria" w:hAnsi="Cambria" w:cs="Arial"/>
          <w:bCs/>
          <w:i/>
        </w:rPr>
        <w:t xml:space="preserve"> </w:t>
      </w:r>
      <w:proofErr w:type="spellStart"/>
      <w:r w:rsidRPr="008C75D5">
        <w:rPr>
          <w:rFonts w:ascii="Cambria" w:hAnsi="Cambria" w:cs="Arial"/>
          <w:bCs/>
          <w:i/>
        </w:rPr>
        <w:t>juez</w:t>
      </w:r>
      <w:proofErr w:type="spellEnd"/>
      <w:r w:rsidRPr="008C75D5">
        <w:rPr>
          <w:rFonts w:ascii="Cambria" w:hAnsi="Cambria" w:cs="Arial"/>
          <w:bCs/>
          <w:i/>
        </w:rPr>
        <w:t xml:space="preserve"> o </w:t>
      </w:r>
      <w:proofErr w:type="spellStart"/>
      <w:r w:rsidRPr="008C75D5">
        <w:rPr>
          <w:rFonts w:ascii="Cambria" w:hAnsi="Cambria" w:cs="Arial"/>
          <w:bCs/>
          <w:i/>
        </w:rPr>
        <w:t>autoridad</w:t>
      </w:r>
      <w:proofErr w:type="spellEnd"/>
      <w:r w:rsidRPr="008C75D5">
        <w:rPr>
          <w:rFonts w:ascii="Cambria" w:hAnsi="Cambria" w:cs="Arial"/>
          <w:bCs/>
          <w:i/>
        </w:rPr>
        <w:t xml:space="preserve"> judicial competente, conforme a </w:t>
      </w:r>
      <w:proofErr w:type="spellStart"/>
      <w:r w:rsidRPr="008C75D5">
        <w:rPr>
          <w:rFonts w:ascii="Cambria" w:hAnsi="Cambria" w:cs="Arial"/>
          <w:bCs/>
          <w:i/>
        </w:rPr>
        <w:t>los</w:t>
      </w:r>
      <w:proofErr w:type="spellEnd"/>
      <w:r w:rsidRPr="008C75D5">
        <w:rPr>
          <w:rFonts w:ascii="Cambria" w:hAnsi="Cambria" w:cs="Arial"/>
          <w:bCs/>
          <w:i/>
        </w:rPr>
        <w:t xml:space="preserve"> </w:t>
      </w:r>
      <w:proofErr w:type="spellStart"/>
      <w:r w:rsidRPr="008C75D5">
        <w:rPr>
          <w:rFonts w:ascii="Cambria" w:hAnsi="Cambria" w:cs="Arial"/>
          <w:bCs/>
          <w:i/>
        </w:rPr>
        <w:t>principios</w:t>
      </w:r>
      <w:proofErr w:type="spellEnd"/>
      <w:r w:rsidRPr="008C75D5">
        <w:rPr>
          <w:rFonts w:ascii="Cambria" w:hAnsi="Cambria" w:cs="Arial"/>
          <w:bCs/>
          <w:i/>
        </w:rPr>
        <w:t xml:space="preserve"> de </w:t>
      </w:r>
      <w:proofErr w:type="spellStart"/>
      <w:r w:rsidRPr="008C75D5">
        <w:rPr>
          <w:rFonts w:ascii="Cambria" w:hAnsi="Cambria" w:cs="Arial"/>
          <w:bCs/>
          <w:i/>
        </w:rPr>
        <w:t>control</w:t>
      </w:r>
      <w:proofErr w:type="spellEnd"/>
      <w:r w:rsidRPr="008C75D5">
        <w:rPr>
          <w:rFonts w:ascii="Cambria" w:hAnsi="Cambria" w:cs="Arial"/>
          <w:bCs/>
          <w:i/>
        </w:rPr>
        <w:t xml:space="preserve"> judicial e </w:t>
      </w:r>
      <w:proofErr w:type="spellStart"/>
      <w:r w:rsidRPr="008C75D5">
        <w:rPr>
          <w:rFonts w:ascii="Cambria" w:hAnsi="Cambria" w:cs="Arial"/>
          <w:bCs/>
          <w:i/>
        </w:rPr>
        <w:t>inmediación</w:t>
      </w:r>
      <w:proofErr w:type="spellEnd"/>
      <w:r w:rsidRPr="008C75D5">
        <w:rPr>
          <w:rFonts w:ascii="Cambria" w:hAnsi="Cambria" w:cs="Arial"/>
          <w:bCs/>
          <w:i/>
        </w:rPr>
        <w:t xml:space="preserve"> </w:t>
      </w:r>
      <w:proofErr w:type="spellStart"/>
      <w:r w:rsidRPr="008C75D5">
        <w:rPr>
          <w:rFonts w:ascii="Cambria" w:hAnsi="Cambria" w:cs="Arial"/>
          <w:bCs/>
          <w:i/>
        </w:rPr>
        <w:t>procesal</w:t>
      </w:r>
      <w:proofErr w:type="spellEnd"/>
      <w:r w:rsidRPr="008C75D5">
        <w:rPr>
          <w:rFonts w:ascii="Cambria" w:hAnsi="Cambria" w:cs="Arial"/>
          <w:bCs/>
          <w:i/>
        </w:rPr>
        <w:t xml:space="preserve">. </w:t>
      </w:r>
      <w:proofErr w:type="spellStart"/>
      <w:r w:rsidRPr="008C75D5">
        <w:rPr>
          <w:rFonts w:ascii="Cambria" w:hAnsi="Cambria" w:cs="Arial"/>
          <w:bCs/>
          <w:i/>
        </w:rPr>
        <w:t>Esto</w:t>
      </w:r>
      <w:proofErr w:type="spellEnd"/>
      <w:r w:rsidRPr="008C75D5">
        <w:rPr>
          <w:rFonts w:ascii="Cambria" w:hAnsi="Cambria" w:cs="Arial"/>
          <w:bCs/>
          <w:i/>
        </w:rPr>
        <w:t xml:space="preserve"> es </w:t>
      </w:r>
      <w:proofErr w:type="spellStart"/>
      <w:r w:rsidRPr="008C75D5">
        <w:rPr>
          <w:rFonts w:ascii="Cambria" w:hAnsi="Cambria" w:cs="Arial"/>
          <w:bCs/>
          <w:i/>
        </w:rPr>
        <w:t>esencial</w:t>
      </w:r>
      <w:proofErr w:type="spellEnd"/>
      <w:r w:rsidRPr="008C75D5">
        <w:rPr>
          <w:rFonts w:ascii="Cambria" w:hAnsi="Cambria" w:cs="Arial"/>
          <w:bCs/>
          <w:i/>
        </w:rPr>
        <w:t xml:space="preserve"> para </w:t>
      </w:r>
      <w:proofErr w:type="spellStart"/>
      <w:r w:rsidRPr="008C75D5">
        <w:rPr>
          <w:rFonts w:ascii="Cambria" w:hAnsi="Cambria" w:cs="Arial"/>
          <w:bCs/>
          <w:i/>
        </w:rPr>
        <w:t>la</w:t>
      </w:r>
      <w:proofErr w:type="spellEnd"/>
      <w:r w:rsidRPr="008C75D5">
        <w:rPr>
          <w:rFonts w:ascii="Cambria" w:hAnsi="Cambria" w:cs="Arial"/>
          <w:bCs/>
          <w:i/>
        </w:rPr>
        <w:t xml:space="preserve"> </w:t>
      </w:r>
      <w:proofErr w:type="spellStart"/>
      <w:r w:rsidRPr="008C75D5">
        <w:rPr>
          <w:rFonts w:ascii="Cambria" w:hAnsi="Cambria" w:cs="Arial"/>
          <w:bCs/>
          <w:i/>
        </w:rPr>
        <w:t>protección</w:t>
      </w:r>
      <w:proofErr w:type="spellEnd"/>
      <w:r w:rsidRPr="008C75D5">
        <w:rPr>
          <w:rFonts w:ascii="Cambria" w:hAnsi="Cambria" w:cs="Arial"/>
          <w:bCs/>
          <w:i/>
        </w:rPr>
        <w:t xml:space="preserve"> </w:t>
      </w:r>
      <w:proofErr w:type="spellStart"/>
      <w:r w:rsidRPr="008C75D5">
        <w:rPr>
          <w:rFonts w:ascii="Cambria" w:hAnsi="Cambria" w:cs="Arial"/>
          <w:bCs/>
          <w:i/>
        </w:rPr>
        <w:t>del</w:t>
      </w:r>
      <w:proofErr w:type="spellEnd"/>
      <w:r w:rsidRPr="008C75D5">
        <w:rPr>
          <w:rFonts w:ascii="Cambria" w:hAnsi="Cambria" w:cs="Arial"/>
          <w:bCs/>
          <w:i/>
        </w:rPr>
        <w:t xml:space="preserve"> </w:t>
      </w:r>
      <w:proofErr w:type="spellStart"/>
      <w:r w:rsidRPr="008C75D5">
        <w:rPr>
          <w:rFonts w:ascii="Cambria" w:hAnsi="Cambria" w:cs="Arial"/>
          <w:bCs/>
          <w:i/>
        </w:rPr>
        <w:t>derecho</w:t>
      </w:r>
      <w:proofErr w:type="spellEnd"/>
      <w:r w:rsidRPr="008C75D5">
        <w:rPr>
          <w:rFonts w:ascii="Cambria" w:hAnsi="Cambria" w:cs="Arial"/>
          <w:bCs/>
          <w:i/>
        </w:rPr>
        <w:t xml:space="preserve"> a </w:t>
      </w:r>
      <w:proofErr w:type="spellStart"/>
      <w:r w:rsidRPr="008C75D5">
        <w:rPr>
          <w:rFonts w:ascii="Cambria" w:hAnsi="Cambria" w:cs="Arial"/>
          <w:bCs/>
          <w:i/>
        </w:rPr>
        <w:t>la</w:t>
      </w:r>
      <w:proofErr w:type="spellEnd"/>
      <w:r w:rsidRPr="008C75D5">
        <w:rPr>
          <w:rFonts w:ascii="Cambria" w:hAnsi="Cambria" w:cs="Arial"/>
          <w:bCs/>
          <w:i/>
        </w:rPr>
        <w:t xml:space="preserve"> </w:t>
      </w:r>
      <w:proofErr w:type="spellStart"/>
      <w:r w:rsidRPr="008C75D5">
        <w:rPr>
          <w:rFonts w:ascii="Cambria" w:hAnsi="Cambria" w:cs="Arial"/>
          <w:bCs/>
          <w:i/>
        </w:rPr>
        <w:t>libertad</w:t>
      </w:r>
      <w:proofErr w:type="spellEnd"/>
      <w:r w:rsidRPr="008C75D5">
        <w:rPr>
          <w:rFonts w:ascii="Cambria" w:hAnsi="Cambria" w:cs="Arial"/>
          <w:bCs/>
          <w:i/>
        </w:rPr>
        <w:t xml:space="preserve"> </w:t>
      </w:r>
      <w:proofErr w:type="spellStart"/>
      <w:r w:rsidRPr="008C75D5">
        <w:rPr>
          <w:rFonts w:ascii="Cambria" w:hAnsi="Cambria" w:cs="Arial"/>
          <w:bCs/>
          <w:i/>
        </w:rPr>
        <w:t>personal</w:t>
      </w:r>
      <w:proofErr w:type="spellEnd"/>
      <w:r w:rsidRPr="008C75D5">
        <w:rPr>
          <w:rFonts w:ascii="Cambria" w:hAnsi="Cambria" w:cs="Arial"/>
          <w:bCs/>
          <w:i/>
        </w:rPr>
        <w:t xml:space="preserve"> y para </w:t>
      </w:r>
      <w:proofErr w:type="spellStart"/>
      <w:r w:rsidRPr="008C75D5">
        <w:rPr>
          <w:rFonts w:ascii="Cambria" w:hAnsi="Cambria" w:cs="Arial"/>
          <w:bCs/>
          <w:i/>
        </w:rPr>
        <w:t>otorgar</w:t>
      </w:r>
      <w:proofErr w:type="spellEnd"/>
      <w:r w:rsidRPr="008C75D5">
        <w:rPr>
          <w:rFonts w:ascii="Cambria" w:hAnsi="Cambria" w:cs="Arial"/>
          <w:bCs/>
          <w:i/>
        </w:rPr>
        <w:t xml:space="preserve"> </w:t>
      </w:r>
      <w:proofErr w:type="spellStart"/>
      <w:r w:rsidRPr="008C75D5">
        <w:rPr>
          <w:rFonts w:ascii="Cambria" w:hAnsi="Cambria" w:cs="Arial"/>
          <w:bCs/>
          <w:i/>
        </w:rPr>
        <w:t>protección</w:t>
      </w:r>
      <w:proofErr w:type="spellEnd"/>
      <w:r w:rsidRPr="008C75D5">
        <w:rPr>
          <w:rFonts w:ascii="Cambria" w:hAnsi="Cambria" w:cs="Arial"/>
          <w:bCs/>
          <w:i/>
        </w:rPr>
        <w:t xml:space="preserve"> a </w:t>
      </w:r>
      <w:proofErr w:type="spellStart"/>
      <w:r w:rsidRPr="008C75D5">
        <w:rPr>
          <w:rFonts w:ascii="Cambria" w:hAnsi="Cambria" w:cs="Arial"/>
          <w:bCs/>
          <w:i/>
        </w:rPr>
        <w:t>otros</w:t>
      </w:r>
      <w:proofErr w:type="spellEnd"/>
      <w:r w:rsidRPr="008C75D5">
        <w:rPr>
          <w:rFonts w:ascii="Cambria" w:hAnsi="Cambria" w:cs="Arial"/>
          <w:bCs/>
          <w:i/>
        </w:rPr>
        <w:t xml:space="preserve"> </w:t>
      </w:r>
      <w:proofErr w:type="spellStart"/>
      <w:r w:rsidRPr="008C75D5">
        <w:rPr>
          <w:rFonts w:ascii="Cambria" w:hAnsi="Cambria" w:cs="Arial"/>
          <w:bCs/>
          <w:i/>
        </w:rPr>
        <w:t>derechos</w:t>
      </w:r>
      <w:proofErr w:type="spellEnd"/>
      <w:r w:rsidRPr="008C75D5">
        <w:rPr>
          <w:rFonts w:ascii="Cambria" w:hAnsi="Cambria" w:cs="Arial"/>
          <w:bCs/>
          <w:i/>
        </w:rPr>
        <w:t xml:space="preserve">, como </w:t>
      </w:r>
      <w:proofErr w:type="spellStart"/>
      <w:r w:rsidRPr="008C75D5">
        <w:rPr>
          <w:rFonts w:ascii="Cambria" w:hAnsi="Cambria" w:cs="Arial"/>
          <w:bCs/>
          <w:i/>
        </w:rPr>
        <w:t>la</w:t>
      </w:r>
      <w:proofErr w:type="spellEnd"/>
      <w:r w:rsidRPr="008C75D5">
        <w:rPr>
          <w:rFonts w:ascii="Cambria" w:hAnsi="Cambria" w:cs="Arial"/>
          <w:bCs/>
          <w:i/>
        </w:rPr>
        <w:t xml:space="preserve"> vida y </w:t>
      </w:r>
      <w:proofErr w:type="spellStart"/>
      <w:r w:rsidRPr="008C75D5">
        <w:rPr>
          <w:rFonts w:ascii="Cambria" w:hAnsi="Cambria" w:cs="Arial"/>
          <w:bCs/>
          <w:i/>
        </w:rPr>
        <w:t>la</w:t>
      </w:r>
      <w:proofErr w:type="spellEnd"/>
      <w:r w:rsidRPr="008C75D5">
        <w:rPr>
          <w:rFonts w:ascii="Cambria" w:hAnsi="Cambria" w:cs="Arial"/>
          <w:bCs/>
          <w:i/>
        </w:rPr>
        <w:t xml:space="preserve"> </w:t>
      </w:r>
      <w:proofErr w:type="spellStart"/>
      <w:r w:rsidRPr="008C75D5">
        <w:rPr>
          <w:rFonts w:ascii="Cambria" w:hAnsi="Cambria" w:cs="Arial"/>
          <w:bCs/>
          <w:i/>
        </w:rPr>
        <w:t>integridad</w:t>
      </w:r>
      <w:proofErr w:type="spellEnd"/>
      <w:r w:rsidRPr="008C75D5">
        <w:rPr>
          <w:rFonts w:ascii="Cambria" w:hAnsi="Cambria" w:cs="Arial"/>
          <w:bCs/>
          <w:i/>
        </w:rPr>
        <w:t xml:space="preserve"> </w:t>
      </w:r>
      <w:proofErr w:type="spellStart"/>
      <w:r w:rsidRPr="008C75D5">
        <w:rPr>
          <w:rFonts w:ascii="Cambria" w:hAnsi="Cambria" w:cs="Arial"/>
          <w:bCs/>
          <w:i/>
        </w:rPr>
        <w:t>personal</w:t>
      </w:r>
      <w:proofErr w:type="spellEnd"/>
      <w:r w:rsidRPr="008C75D5">
        <w:rPr>
          <w:rFonts w:ascii="Cambria" w:hAnsi="Cambria" w:cs="Arial"/>
          <w:bCs/>
          <w:i/>
        </w:rPr>
        <w:t xml:space="preserve">. El </w:t>
      </w:r>
      <w:proofErr w:type="spellStart"/>
      <w:r w:rsidRPr="008C75D5">
        <w:rPr>
          <w:rFonts w:ascii="Cambria" w:hAnsi="Cambria" w:cs="Arial"/>
          <w:bCs/>
          <w:i/>
        </w:rPr>
        <w:t>hecho</w:t>
      </w:r>
      <w:proofErr w:type="spellEnd"/>
      <w:r w:rsidRPr="008C75D5">
        <w:rPr>
          <w:rFonts w:ascii="Cambria" w:hAnsi="Cambria" w:cs="Arial"/>
          <w:bCs/>
          <w:i/>
        </w:rPr>
        <w:t xml:space="preserve"> de que </w:t>
      </w:r>
      <w:proofErr w:type="spellStart"/>
      <w:r w:rsidRPr="008C75D5">
        <w:rPr>
          <w:rFonts w:ascii="Cambria" w:hAnsi="Cambria" w:cs="Arial"/>
          <w:bCs/>
          <w:i/>
        </w:rPr>
        <w:t>un</w:t>
      </w:r>
      <w:proofErr w:type="spellEnd"/>
      <w:r w:rsidRPr="008C75D5">
        <w:rPr>
          <w:rFonts w:ascii="Cambria" w:hAnsi="Cambria" w:cs="Arial"/>
          <w:bCs/>
          <w:i/>
        </w:rPr>
        <w:t xml:space="preserve"> </w:t>
      </w:r>
      <w:proofErr w:type="spellStart"/>
      <w:r w:rsidRPr="008C75D5">
        <w:rPr>
          <w:rFonts w:ascii="Cambria" w:hAnsi="Cambria" w:cs="Arial"/>
          <w:bCs/>
          <w:i/>
        </w:rPr>
        <w:t>juez</w:t>
      </w:r>
      <w:proofErr w:type="spellEnd"/>
      <w:r w:rsidRPr="008C75D5">
        <w:rPr>
          <w:rFonts w:ascii="Cambria" w:hAnsi="Cambria" w:cs="Arial"/>
          <w:bCs/>
          <w:i/>
        </w:rPr>
        <w:t xml:space="preserve"> </w:t>
      </w:r>
      <w:proofErr w:type="spellStart"/>
      <w:r w:rsidRPr="008C75D5">
        <w:rPr>
          <w:rFonts w:ascii="Cambria" w:hAnsi="Cambria" w:cs="Arial"/>
          <w:bCs/>
          <w:i/>
        </w:rPr>
        <w:t>tenga</w:t>
      </w:r>
      <w:proofErr w:type="spellEnd"/>
      <w:r w:rsidRPr="008C75D5">
        <w:rPr>
          <w:rFonts w:ascii="Cambria" w:hAnsi="Cambria" w:cs="Arial"/>
          <w:bCs/>
          <w:i/>
        </w:rPr>
        <w:t xml:space="preserve"> </w:t>
      </w:r>
      <w:proofErr w:type="spellStart"/>
      <w:r w:rsidRPr="008C75D5">
        <w:rPr>
          <w:rFonts w:ascii="Cambria" w:hAnsi="Cambria" w:cs="Arial"/>
          <w:bCs/>
          <w:i/>
        </w:rPr>
        <w:t>conocimiento</w:t>
      </w:r>
      <w:proofErr w:type="spellEnd"/>
      <w:r w:rsidRPr="008C75D5">
        <w:rPr>
          <w:rFonts w:ascii="Cambria" w:hAnsi="Cambria" w:cs="Arial"/>
          <w:bCs/>
          <w:i/>
        </w:rPr>
        <w:t xml:space="preserve"> de </w:t>
      </w:r>
      <w:proofErr w:type="spellStart"/>
      <w:r w:rsidRPr="008C75D5">
        <w:rPr>
          <w:rFonts w:ascii="Cambria" w:hAnsi="Cambria" w:cs="Arial"/>
          <w:bCs/>
          <w:i/>
        </w:rPr>
        <w:t>la</w:t>
      </w:r>
      <w:proofErr w:type="spellEnd"/>
      <w:r w:rsidRPr="008C75D5">
        <w:rPr>
          <w:rFonts w:ascii="Cambria" w:hAnsi="Cambria" w:cs="Arial"/>
          <w:bCs/>
          <w:i/>
        </w:rPr>
        <w:t xml:space="preserve"> causa o </w:t>
      </w:r>
      <w:proofErr w:type="spellStart"/>
      <w:r w:rsidRPr="008C75D5">
        <w:rPr>
          <w:rFonts w:ascii="Cambria" w:hAnsi="Cambria" w:cs="Arial"/>
          <w:bCs/>
          <w:i/>
        </w:rPr>
        <w:t>le</w:t>
      </w:r>
      <w:proofErr w:type="spellEnd"/>
      <w:r w:rsidRPr="008C75D5">
        <w:rPr>
          <w:rFonts w:ascii="Cambria" w:hAnsi="Cambria" w:cs="Arial"/>
          <w:bCs/>
          <w:i/>
        </w:rPr>
        <w:t xml:space="preserve"> </w:t>
      </w:r>
      <w:proofErr w:type="spellStart"/>
      <w:r w:rsidRPr="008C75D5">
        <w:rPr>
          <w:rFonts w:ascii="Cambria" w:hAnsi="Cambria" w:cs="Arial"/>
          <w:bCs/>
          <w:i/>
        </w:rPr>
        <w:t>sea</w:t>
      </w:r>
      <w:proofErr w:type="spellEnd"/>
      <w:r w:rsidRPr="008C75D5">
        <w:rPr>
          <w:rFonts w:ascii="Cambria" w:hAnsi="Cambria" w:cs="Arial"/>
          <w:bCs/>
          <w:i/>
        </w:rPr>
        <w:t xml:space="preserve"> remitido </w:t>
      </w:r>
      <w:proofErr w:type="spellStart"/>
      <w:r w:rsidRPr="008C75D5">
        <w:rPr>
          <w:rFonts w:ascii="Cambria" w:hAnsi="Cambria" w:cs="Arial"/>
          <w:bCs/>
          <w:i/>
        </w:rPr>
        <w:t>el</w:t>
      </w:r>
      <w:proofErr w:type="spellEnd"/>
      <w:r w:rsidRPr="008C75D5">
        <w:rPr>
          <w:rFonts w:ascii="Cambria" w:hAnsi="Cambria" w:cs="Arial"/>
          <w:bCs/>
          <w:i/>
        </w:rPr>
        <w:t xml:space="preserve"> informe policial </w:t>
      </w:r>
      <w:proofErr w:type="spellStart"/>
      <w:r w:rsidRPr="008C75D5">
        <w:rPr>
          <w:rFonts w:ascii="Cambria" w:hAnsi="Cambria" w:cs="Arial"/>
          <w:bCs/>
          <w:i/>
        </w:rPr>
        <w:t>correspondiente</w:t>
      </w:r>
      <w:proofErr w:type="spellEnd"/>
      <w:r w:rsidRPr="008C75D5">
        <w:rPr>
          <w:rFonts w:ascii="Cambria" w:hAnsi="Cambria" w:cs="Arial"/>
          <w:bCs/>
          <w:i/>
        </w:rPr>
        <w:t xml:space="preserve">, como </w:t>
      </w:r>
      <w:proofErr w:type="spellStart"/>
      <w:r w:rsidRPr="008C75D5">
        <w:rPr>
          <w:rFonts w:ascii="Cambria" w:hAnsi="Cambria" w:cs="Arial"/>
          <w:bCs/>
          <w:i/>
        </w:rPr>
        <w:t>lo</w:t>
      </w:r>
      <w:proofErr w:type="spellEnd"/>
      <w:r w:rsidRPr="008C75D5">
        <w:rPr>
          <w:rFonts w:ascii="Cambria" w:hAnsi="Cambria" w:cs="Arial"/>
          <w:bCs/>
          <w:i/>
        </w:rPr>
        <w:t xml:space="preserve"> </w:t>
      </w:r>
      <w:proofErr w:type="spellStart"/>
      <w:r w:rsidRPr="008C75D5">
        <w:rPr>
          <w:rFonts w:ascii="Cambria" w:hAnsi="Cambria" w:cs="Arial"/>
          <w:bCs/>
          <w:i/>
        </w:rPr>
        <w:t>alegó</w:t>
      </w:r>
      <w:proofErr w:type="spellEnd"/>
      <w:r w:rsidRPr="008C75D5">
        <w:rPr>
          <w:rFonts w:ascii="Cambria" w:hAnsi="Cambria" w:cs="Arial"/>
          <w:bCs/>
          <w:i/>
        </w:rPr>
        <w:t xml:space="preserve"> </w:t>
      </w:r>
      <w:proofErr w:type="spellStart"/>
      <w:r w:rsidRPr="008C75D5">
        <w:rPr>
          <w:rFonts w:ascii="Cambria" w:hAnsi="Cambria" w:cs="Arial"/>
          <w:bCs/>
          <w:i/>
        </w:rPr>
        <w:t>el</w:t>
      </w:r>
      <w:proofErr w:type="spellEnd"/>
      <w:r w:rsidRPr="008C75D5">
        <w:rPr>
          <w:rFonts w:ascii="Cambria" w:hAnsi="Cambria" w:cs="Arial"/>
          <w:bCs/>
          <w:i/>
        </w:rPr>
        <w:t xml:space="preserve"> Estado, no </w:t>
      </w:r>
      <w:proofErr w:type="spellStart"/>
      <w:r w:rsidRPr="008C75D5">
        <w:rPr>
          <w:rFonts w:ascii="Cambria" w:hAnsi="Cambria" w:cs="Arial"/>
          <w:bCs/>
          <w:i/>
        </w:rPr>
        <w:t>satisface</w:t>
      </w:r>
      <w:proofErr w:type="spellEnd"/>
      <w:r w:rsidRPr="008C75D5">
        <w:rPr>
          <w:rFonts w:ascii="Cambria" w:hAnsi="Cambria" w:cs="Arial"/>
          <w:bCs/>
          <w:i/>
        </w:rPr>
        <w:t xml:space="preserve"> </w:t>
      </w:r>
      <w:proofErr w:type="spellStart"/>
      <w:r w:rsidRPr="008C75D5">
        <w:rPr>
          <w:rFonts w:ascii="Cambria" w:hAnsi="Cambria" w:cs="Arial"/>
          <w:bCs/>
          <w:i/>
        </w:rPr>
        <w:t>esa</w:t>
      </w:r>
      <w:proofErr w:type="spellEnd"/>
      <w:r w:rsidRPr="008C75D5">
        <w:rPr>
          <w:rFonts w:ascii="Cambria" w:hAnsi="Cambria" w:cs="Arial"/>
          <w:bCs/>
          <w:i/>
        </w:rPr>
        <w:t xml:space="preserve"> </w:t>
      </w:r>
      <w:proofErr w:type="spellStart"/>
      <w:r w:rsidRPr="008C75D5">
        <w:rPr>
          <w:rFonts w:ascii="Cambria" w:hAnsi="Cambria" w:cs="Arial"/>
          <w:bCs/>
          <w:i/>
        </w:rPr>
        <w:t>garantía</w:t>
      </w:r>
      <w:proofErr w:type="spellEnd"/>
      <w:r w:rsidRPr="008C75D5">
        <w:rPr>
          <w:rFonts w:ascii="Cambria" w:hAnsi="Cambria" w:cs="Arial"/>
          <w:bCs/>
          <w:i/>
        </w:rPr>
        <w:t xml:space="preserve">, </w:t>
      </w:r>
      <w:proofErr w:type="spellStart"/>
      <w:r w:rsidRPr="008C75D5">
        <w:rPr>
          <w:rFonts w:ascii="Cambria" w:hAnsi="Cambria" w:cs="Arial"/>
          <w:bCs/>
          <w:i/>
        </w:rPr>
        <w:t>ya</w:t>
      </w:r>
      <w:proofErr w:type="spellEnd"/>
      <w:r w:rsidRPr="008C75D5">
        <w:rPr>
          <w:rFonts w:ascii="Cambria" w:hAnsi="Cambria" w:cs="Arial"/>
          <w:bCs/>
          <w:i/>
        </w:rPr>
        <w:t xml:space="preserve"> que </w:t>
      </w:r>
      <w:proofErr w:type="spellStart"/>
      <w:r w:rsidRPr="008C75D5">
        <w:rPr>
          <w:rFonts w:ascii="Cambria" w:hAnsi="Cambria" w:cs="Arial"/>
          <w:bCs/>
          <w:i/>
        </w:rPr>
        <w:t>el</w:t>
      </w:r>
      <w:proofErr w:type="spellEnd"/>
      <w:r w:rsidRPr="008C75D5">
        <w:rPr>
          <w:rFonts w:ascii="Cambria" w:hAnsi="Cambria" w:cs="Arial"/>
          <w:bCs/>
          <w:i/>
        </w:rPr>
        <w:t xml:space="preserve"> </w:t>
      </w:r>
      <w:proofErr w:type="spellStart"/>
      <w:r w:rsidRPr="008C75D5">
        <w:rPr>
          <w:rFonts w:ascii="Cambria" w:hAnsi="Cambria" w:cs="Arial"/>
          <w:bCs/>
          <w:i/>
        </w:rPr>
        <w:t>detenido</w:t>
      </w:r>
      <w:proofErr w:type="spellEnd"/>
      <w:r w:rsidRPr="008C75D5">
        <w:rPr>
          <w:rFonts w:ascii="Cambria" w:hAnsi="Cambria" w:cs="Arial"/>
          <w:bCs/>
          <w:i/>
        </w:rPr>
        <w:t xml:space="preserve"> </w:t>
      </w:r>
      <w:proofErr w:type="spellStart"/>
      <w:r w:rsidRPr="008C75D5">
        <w:rPr>
          <w:rFonts w:ascii="Cambria" w:hAnsi="Cambria" w:cs="Arial"/>
          <w:bCs/>
          <w:i/>
        </w:rPr>
        <w:t>debe</w:t>
      </w:r>
      <w:proofErr w:type="spellEnd"/>
      <w:r w:rsidRPr="008C75D5">
        <w:rPr>
          <w:rFonts w:ascii="Cambria" w:hAnsi="Cambria" w:cs="Arial"/>
          <w:bCs/>
          <w:i/>
        </w:rPr>
        <w:t xml:space="preserve"> comparecer </w:t>
      </w:r>
      <w:proofErr w:type="spellStart"/>
      <w:r w:rsidRPr="008C75D5">
        <w:rPr>
          <w:rFonts w:ascii="Cambria" w:hAnsi="Cambria" w:cs="Arial"/>
          <w:bCs/>
          <w:i/>
        </w:rPr>
        <w:t>personalmente</w:t>
      </w:r>
      <w:proofErr w:type="spellEnd"/>
      <w:r w:rsidRPr="008C75D5">
        <w:rPr>
          <w:rFonts w:ascii="Cambria" w:hAnsi="Cambria" w:cs="Arial"/>
          <w:bCs/>
          <w:i/>
        </w:rPr>
        <w:t xml:space="preserve"> ante </w:t>
      </w:r>
      <w:proofErr w:type="spellStart"/>
      <w:r w:rsidRPr="008C75D5">
        <w:rPr>
          <w:rFonts w:ascii="Cambria" w:hAnsi="Cambria" w:cs="Arial"/>
          <w:bCs/>
          <w:i/>
        </w:rPr>
        <w:t>el</w:t>
      </w:r>
      <w:proofErr w:type="spellEnd"/>
      <w:r w:rsidRPr="008C75D5">
        <w:rPr>
          <w:rFonts w:ascii="Cambria" w:hAnsi="Cambria" w:cs="Arial"/>
          <w:bCs/>
          <w:i/>
        </w:rPr>
        <w:t xml:space="preserve"> </w:t>
      </w:r>
      <w:proofErr w:type="spellStart"/>
      <w:r w:rsidRPr="008C75D5">
        <w:rPr>
          <w:rFonts w:ascii="Cambria" w:hAnsi="Cambria" w:cs="Arial"/>
          <w:bCs/>
          <w:i/>
        </w:rPr>
        <w:t>juez</w:t>
      </w:r>
      <w:proofErr w:type="spellEnd"/>
      <w:r w:rsidRPr="008C75D5">
        <w:rPr>
          <w:rFonts w:ascii="Cambria" w:hAnsi="Cambria" w:cs="Arial"/>
          <w:bCs/>
          <w:i/>
        </w:rPr>
        <w:t xml:space="preserve"> o </w:t>
      </w:r>
      <w:proofErr w:type="spellStart"/>
      <w:r w:rsidRPr="008C75D5">
        <w:rPr>
          <w:rFonts w:ascii="Cambria" w:hAnsi="Cambria" w:cs="Arial"/>
          <w:bCs/>
          <w:i/>
        </w:rPr>
        <w:t>autoridad</w:t>
      </w:r>
      <w:proofErr w:type="spellEnd"/>
      <w:r w:rsidRPr="008C75D5">
        <w:rPr>
          <w:rFonts w:ascii="Cambria" w:hAnsi="Cambria" w:cs="Arial"/>
          <w:bCs/>
          <w:i/>
        </w:rPr>
        <w:t xml:space="preserve"> competente. </w:t>
      </w:r>
      <w:proofErr w:type="spellStart"/>
      <w:r w:rsidRPr="008C75D5">
        <w:rPr>
          <w:rFonts w:ascii="Cambria" w:hAnsi="Cambria" w:cs="Arial"/>
          <w:bCs/>
          <w:i/>
        </w:rPr>
        <w:t>En</w:t>
      </w:r>
      <w:proofErr w:type="spellEnd"/>
      <w:r w:rsidRPr="008C75D5">
        <w:rPr>
          <w:rFonts w:ascii="Cambria" w:hAnsi="Cambria" w:cs="Arial"/>
          <w:bCs/>
          <w:i/>
        </w:rPr>
        <w:t xml:space="preserve"> </w:t>
      </w:r>
      <w:proofErr w:type="spellStart"/>
      <w:r w:rsidRPr="008C75D5">
        <w:rPr>
          <w:rFonts w:ascii="Cambria" w:hAnsi="Cambria" w:cs="Arial"/>
          <w:bCs/>
          <w:i/>
        </w:rPr>
        <w:t>el</w:t>
      </w:r>
      <w:proofErr w:type="spellEnd"/>
      <w:r w:rsidRPr="008C75D5">
        <w:rPr>
          <w:rFonts w:ascii="Cambria" w:hAnsi="Cambria" w:cs="Arial"/>
          <w:bCs/>
          <w:i/>
        </w:rPr>
        <w:t xml:space="preserve"> caso </w:t>
      </w:r>
      <w:proofErr w:type="spellStart"/>
      <w:r w:rsidRPr="008C75D5">
        <w:rPr>
          <w:rFonts w:ascii="Cambria" w:hAnsi="Cambria" w:cs="Arial"/>
          <w:bCs/>
          <w:i/>
        </w:rPr>
        <w:t>en</w:t>
      </w:r>
      <w:proofErr w:type="spellEnd"/>
      <w:r w:rsidRPr="008C75D5">
        <w:rPr>
          <w:rFonts w:ascii="Cambria" w:hAnsi="Cambria" w:cs="Arial"/>
          <w:bCs/>
          <w:i/>
        </w:rPr>
        <w:t xml:space="preserve"> </w:t>
      </w:r>
      <w:proofErr w:type="spellStart"/>
      <w:r w:rsidRPr="008C75D5">
        <w:rPr>
          <w:rFonts w:ascii="Cambria" w:hAnsi="Cambria" w:cs="Arial"/>
          <w:bCs/>
          <w:i/>
        </w:rPr>
        <w:t>análisis</w:t>
      </w:r>
      <w:proofErr w:type="spellEnd"/>
      <w:r w:rsidRPr="008C75D5">
        <w:rPr>
          <w:rFonts w:ascii="Cambria" w:hAnsi="Cambria" w:cs="Arial"/>
          <w:bCs/>
          <w:i/>
        </w:rPr>
        <w:t xml:space="preserve">, </w:t>
      </w:r>
      <w:proofErr w:type="spellStart"/>
      <w:r w:rsidRPr="008C75D5">
        <w:rPr>
          <w:rFonts w:ascii="Cambria" w:hAnsi="Cambria" w:cs="Arial"/>
          <w:bCs/>
          <w:i/>
        </w:rPr>
        <w:t>el</w:t>
      </w:r>
      <w:proofErr w:type="spellEnd"/>
      <w:r w:rsidRPr="008C75D5">
        <w:rPr>
          <w:rFonts w:ascii="Cambria" w:hAnsi="Cambria" w:cs="Arial"/>
          <w:bCs/>
          <w:i/>
        </w:rPr>
        <w:t xml:space="preserve"> </w:t>
      </w:r>
      <w:proofErr w:type="spellStart"/>
      <w:r w:rsidRPr="008C75D5">
        <w:rPr>
          <w:rFonts w:ascii="Cambria" w:hAnsi="Cambria" w:cs="Arial"/>
          <w:bCs/>
          <w:i/>
        </w:rPr>
        <w:t>señor</w:t>
      </w:r>
      <w:proofErr w:type="spellEnd"/>
      <w:r w:rsidRPr="008C75D5">
        <w:rPr>
          <w:rFonts w:ascii="Cambria" w:hAnsi="Cambria" w:cs="Arial"/>
          <w:bCs/>
          <w:i/>
        </w:rPr>
        <w:t xml:space="preserve"> </w:t>
      </w:r>
      <w:proofErr w:type="spellStart"/>
      <w:r w:rsidRPr="008C75D5">
        <w:rPr>
          <w:rFonts w:ascii="Cambria" w:hAnsi="Cambria" w:cs="Arial"/>
          <w:bCs/>
          <w:i/>
        </w:rPr>
        <w:t>Tibi</w:t>
      </w:r>
      <w:proofErr w:type="spellEnd"/>
      <w:r w:rsidRPr="008C75D5">
        <w:rPr>
          <w:rFonts w:ascii="Cambria" w:hAnsi="Cambria" w:cs="Arial"/>
          <w:bCs/>
          <w:i/>
        </w:rPr>
        <w:t xml:space="preserve"> </w:t>
      </w:r>
      <w:proofErr w:type="spellStart"/>
      <w:r w:rsidRPr="008C75D5">
        <w:rPr>
          <w:rFonts w:ascii="Cambria" w:hAnsi="Cambria" w:cs="Arial"/>
          <w:bCs/>
          <w:i/>
        </w:rPr>
        <w:t>manifestó</w:t>
      </w:r>
      <w:proofErr w:type="spellEnd"/>
      <w:r w:rsidRPr="008C75D5">
        <w:rPr>
          <w:rFonts w:ascii="Cambria" w:hAnsi="Cambria" w:cs="Arial"/>
          <w:bCs/>
          <w:i/>
        </w:rPr>
        <w:t xml:space="preserve"> que </w:t>
      </w:r>
      <w:proofErr w:type="spellStart"/>
      <w:r w:rsidRPr="008C75D5">
        <w:rPr>
          <w:rFonts w:ascii="Cambria" w:hAnsi="Cambria" w:cs="Arial"/>
          <w:bCs/>
          <w:i/>
        </w:rPr>
        <w:t>rindió</w:t>
      </w:r>
      <w:proofErr w:type="spellEnd"/>
      <w:r w:rsidRPr="008C75D5">
        <w:rPr>
          <w:rFonts w:ascii="Cambria" w:hAnsi="Cambria" w:cs="Arial"/>
          <w:bCs/>
          <w:i/>
        </w:rPr>
        <w:t xml:space="preserve"> </w:t>
      </w:r>
      <w:proofErr w:type="spellStart"/>
      <w:r w:rsidRPr="008C75D5">
        <w:rPr>
          <w:rFonts w:ascii="Cambria" w:hAnsi="Cambria" w:cs="Arial"/>
          <w:bCs/>
          <w:i/>
        </w:rPr>
        <w:t>declaración</w:t>
      </w:r>
      <w:proofErr w:type="spellEnd"/>
      <w:r w:rsidRPr="008C75D5">
        <w:rPr>
          <w:rFonts w:ascii="Cambria" w:hAnsi="Cambria" w:cs="Arial"/>
          <w:bCs/>
          <w:i/>
        </w:rPr>
        <w:t xml:space="preserve"> ante </w:t>
      </w:r>
      <w:proofErr w:type="spellStart"/>
      <w:r w:rsidRPr="008C75D5">
        <w:rPr>
          <w:rFonts w:ascii="Cambria" w:hAnsi="Cambria" w:cs="Arial"/>
          <w:bCs/>
          <w:i/>
        </w:rPr>
        <w:t>un</w:t>
      </w:r>
      <w:proofErr w:type="spellEnd"/>
      <w:r w:rsidRPr="008C75D5">
        <w:rPr>
          <w:rFonts w:ascii="Cambria" w:hAnsi="Cambria" w:cs="Arial"/>
          <w:bCs/>
          <w:i/>
        </w:rPr>
        <w:t xml:space="preserve"> “</w:t>
      </w:r>
      <w:proofErr w:type="spellStart"/>
      <w:r w:rsidRPr="008C75D5">
        <w:rPr>
          <w:rFonts w:ascii="Cambria" w:hAnsi="Cambria" w:cs="Arial"/>
          <w:bCs/>
          <w:i/>
        </w:rPr>
        <w:t>escribano</w:t>
      </w:r>
      <w:proofErr w:type="spellEnd"/>
      <w:r w:rsidRPr="008C75D5">
        <w:rPr>
          <w:rFonts w:ascii="Cambria" w:hAnsi="Cambria" w:cs="Arial"/>
          <w:bCs/>
          <w:i/>
        </w:rPr>
        <w:t xml:space="preserve"> público” </w:t>
      </w:r>
      <w:proofErr w:type="spellStart"/>
      <w:r w:rsidRPr="008C75D5">
        <w:rPr>
          <w:rFonts w:ascii="Cambria" w:hAnsi="Cambria" w:cs="Arial"/>
          <w:bCs/>
          <w:i/>
        </w:rPr>
        <w:t>el</w:t>
      </w:r>
      <w:proofErr w:type="spellEnd"/>
      <w:r w:rsidRPr="008C75D5">
        <w:rPr>
          <w:rFonts w:ascii="Cambria" w:hAnsi="Cambria" w:cs="Arial"/>
          <w:bCs/>
          <w:i/>
        </w:rPr>
        <w:t xml:space="preserve"> 21 de </w:t>
      </w:r>
      <w:proofErr w:type="spellStart"/>
      <w:r w:rsidRPr="008C75D5">
        <w:rPr>
          <w:rFonts w:ascii="Cambria" w:hAnsi="Cambria" w:cs="Arial"/>
          <w:bCs/>
          <w:i/>
        </w:rPr>
        <w:t>marzo</w:t>
      </w:r>
      <w:proofErr w:type="spellEnd"/>
      <w:r w:rsidRPr="008C75D5">
        <w:rPr>
          <w:rFonts w:ascii="Cambria" w:hAnsi="Cambria" w:cs="Arial"/>
          <w:bCs/>
          <w:i/>
        </w:rPr>
        <w:t xml:space="preserve"> de 1996, </w:t>
      </w:r>
      <w:proofErr w:type="spellStart"/>
      <w:r w:rsidRPr="008C75D5">
        <w:rPr>
          <w:rFonts w:ascii="Cambria" w:hAnsi="Cambria" w:cs="Arial"/>
          <w:bCs/>
          <w:i/>
        </w:rPr>
        <w:t>casi</w:t>
      </w:r>
      <w:proofErr w:type="spellEnd"/>
      <w:r w:rsidRPr="008C75D5">
        <w:rPr>
          <w:rFonts w:ascii="Cambria" w:hAnsi="Cambria" w:cs="Arial"/>
          <w:bCs/>
          <w:i/>
        </w:rPr>
        <w:t xml:space="preserve"> seis meses </w:t>
      </w:r>
      <w:proofErr w:type="spellStart"/>
      <w:r w:rsidRPr="008C75D5">
        <w:rPr>
          <w:rFonts w:ascii="Cambria" w:hAnsi="Cambria" w:cs="Arial"/>
          <w:bCs/>
          <w:i/>
        </w:rPr>
        <w:t>después</w:t>
      </w:r>
      <w:proofErr w:type="spellEnd"/>
      <w:r w:rsidRPr="008C75D5">
        <w:rPr>
          <w:rFonts w:ascii="Cambria" w:hAnsi="Cambria" w:cs="Arial"/>
          <w:bCs/>
          <w:i/>
        </w:rPr>
        <w:t xml:space="preserve"> de </w:t>
      </w:r>
      <w:proofErr w:type="spellStart"/>
      <w:r w:rsidRPr="008C75D5">
        <w:rPr>
          <w:rFonts w:ascii="Cambria" w:hAnsi="Cambria" w:cs="Arial"/>
          <w:bCs/>
          <w:i/>
        </w:rPr>
        <w:t>su</w:t>
      </w:r>
      <w:proofErr w:type="spellEnd"/>
      <w:r w:rsidRPr="008C75D5">
        <w:rPr>
          <w:rFonts w:ascii="Cambria" w:hAnsi="Cambria" w:cs="Arial"/>
          <w:bCs/>
          <w:i/>
        </w:rPr>
        <w:t xml:space="preserve"> </w:t>
      </w:r>
      <w:proofErr w:type="spellStart"/>
      <w:r w:rsidRPr="008C75D5">
        <w:rPr>
          <w:rFonts w:ascii="Cambria" w:hAnsi="Cambria" w:cs="Arial"/>
          <w:bCs/>
          <w:i/>
        </w:rPr>
        <w:t>detención</w:t>
      </w:r>
      <w:proofErr w:type="spellEnd"/>
      <w:r w:rsidRPr="008C75D5">
        <w:rPr>
          <w:rFonts w:ascii="Cambria" w:hAnsi="Cambria" w:cs="Arial"/>
          <w:bCs/>
          <w:i/>
        </w:rPr>
        <w:t xml:space="preserve"> (supra </w:t>
      </w:r>
      <w:proofErr w:type="spellStart"/>
      <w:r w:rsidRPr="008C75D5">
        <w:rPr>
          <w:rFonts w:ascii="Cambria" w:hAnsi="Cambria" w:cs="Arial"/>
          <w:bCs/>
          <w:i/>
        </w:rPr>
        <w:t>párr</w:t>
      </w:r>
      <w:proofErr w:type="spellEnd"/>
      <w:r w:rsidRPr="008C75D5">
        <w:rPr>
          <w:rFonts w:ascii="Cambria" w:hAnsi="Cambria" w:cs="Arial"/>
          <w:bCs/>
          <w:i/>
        </w:rPr>
        <w:t xml:space="preserve">. 90.22). </w:t>
      </w:r>
      <w:proofErr w:type="spellStart"/>
      <w:r w:rsidRPr="008C75D5">
        <w:rPr>
          <w:rFonts w:ascii="Cambria" w:hAnsi="Cambria" w:cs="Arial"/>
          <w:bCs/>
          <w:i/>
        </w:rPr>
        <w:t>En</w:t>
      </w:r>
      <w:proofErr w:type="spellEnd"/>
      <w:r w:rsidRPr="008C75D5">
        <w:rPr>
          <w:rFonts w:ascii="Cambria" w:hAnsi="Cambria" w:cs="Arial"/>
          <w:bCs/>
          <w:i/>
        </w:rPr>
        <w:t xml:space="preserve"> </w:t>
      </w:r>
      <w:proofErr w:type="spellStart"/>
      <w:r w:rsidRPr="008C75D5">
        <w:rPr>
          <w:rFonts w:ascii="Cambria" w:hAnsi="Cambria" w:cs="Arial"/>
          <w:bCs/>
          <w:i/>
        </w:rPr>
        <w:t>el</w:t>
      </w:r>
      <w:proofErr w:type="spellEnd"/>
      <w:r w:rsidRPr="008C75D5">
        <w:rPr>
          <w:rFonts w:ascii="Cambria" w:hAnsi="Cambria" w:cs="Arial"/>
          <w:bCs/>
          <w:i/>
        </w:rPr>
        <w:t xml:space="preserve"> expediente no </w:t>
      </w:r>
      <w:proofErr w:type="spellStart"/>
      <w:r w:rsidRPr="008C75D5">
        <w:rPr>
          <w:rFonts w:ascii="Cambria" w:hAnsi="Cambria" w:cs="Arial"/>
          <w:bCs/>
          <w:i/>
        </w:rPr>
        <w:t>hay</w:t>
      </w:r>
      <w:proofErr w:type="spellEnd"/>
      <w:r w:rsidRPr="008C75D5">
        <w:rPr>
          <w:rFonts w:ascii="Cambria" w:hAnsi="Cambria" w:cs="Arial"/>
          <w:bCs/>
          <w:i/>
        </w:rPr>
        <w:t xml:space="preserve"> </w:t>
      </w:r>
      <w:proofErr w:type="spellStart"/>
      <w:r w:rsidRPr="008C75D5">
        <w:rPr>
          <w:rFonts w:ascii="Cambria" w:hAnsi="Cambria" w:cs="Arial"/>
          <w:bCs/>
          <w:i/>
        </w:rPr>
        <w:t>prueba</w:t>
      </w:r>
      <w:proofErr w:type="spellEnd"/>
      <w:r w:rsidRPr="008C75D5">
        <w:rPr>
          <w:rFonts w:ascii="Cambria" w:hAnsi="Cambria" w:cs="Arial"/>
          <w:bCs/>
          <w:i/>
        </w:rPr>
        <w:t xml:space="preserve"> </w:t>
      </w:r>
      <w:proofErr w:type="spellStart"/>
      <w:r w:rsidRPr="008C75D5">
        <w:rPr>
          <w:rFonts w:ascii="Cambria" w:hAnsi="Cambria" w:cs="Arial"/>
          <w:bCs/>
          <w:i/>
        </w:rPr>
        <w:t>alguna</w:t>
      </w:r>
      <w:proofErr w:type="spellEnd"/>
      <w:r w:rsidRPr="008C75D5">
        <w:rPr>
          <w:rFonts w:ascii="Cambria" w:hAnsi="Cambria" w:cs="Arial"/>
          <w:bCs/>
          <w:i/>
        </w:rPr>
        <w:t xml:space="preserve"> para </w:t>
      </w:r>
      <w:proofErr w:type="spellStart"/>
      <w:r w:rsidRPr="008C75D5">
        <w:rPr>
          <w:rFonts w:ascii="Cambria" w:hAnsi="Cambria" w:cs="Arial"/>
          <w:bCs/>
          <w:i/>
        </w:rPr>
        <w:t>llegar</w:t>
      </w:r>
      <w:proofErr w:type="spellEnd"/>
      <w:r w:rsidRPr="008C75D5">
        <w:rPr>
          <w:rFonts w:ascii="Cambria" w:hAnsi="Cambria" w:cs="Arial"/>
          <w:bCs/>
          <w:i/>
        </w:rPr>
        <w:t xml:space="preserve"> a una </w:t>
      </w:r>
      <w:proofErr w:type="spellStart"/>
      <w:r w:rsidRPr="008C75D5">
        <w:rPr>
          <w:rFonts w:ascii="Cambria" w:hAnsi="Cambria" w:cs="Arial"/>
          <w:bCs/>
          <w:i/>
        </w:rPr>
        <w:t>conclusión</w:t>
      </w:r>
      <w:proofErr w:type="spellEnd"/>
      <w:r w:rsidRPr="008C75D5">
        <w:rPr>
          <w:rFonts w:ascii="Cambria" w:hAnsi="Cambria" w:cs="Arial"/>
          <w:bCs/>
          <w:i/>
        </w:rPr>
        <w:t xml:space="preserve"> diferente.</w:t>
      </w:r>
      <w:r w:rsidRPr="008C75D5">
        <w:rPr>
          <w:rFonts w:ascii="Cambria" w:hAnsi="Cambria" w:cs="Arial"/>
          <w:bCs/>
        </w:rPr>
        <w:t xml:space="preserve">” (Caso </w:t>
      </w:r>
      <w:proofErr w:type="spellStart"/>
      <w:r w:rsidRPr="008C75D5">
        <w:rPr>
          <w:rFonts w:ascii="Cambria" w:hAnsi="Cambria" w:cs="Arial"/>
          <w:bCs/>
        </w:rPr>
        <w:t>Tibi</w:t>
      </w:r>
      <w:proofErr w:type="spellEnd"/>
      <w:r w:rsidRPr="008C75D5">
        <w:rPr>
          <w:rFonts w:ascii="Cambria" w:hAnsi="Cambria" w:cs="Arial"/>
          <w:bCs/>
        </w:rPr>
        <w:t xml:space="preserve"> Vs. Equador. Sentença de 07/09/2004).</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Valoração dos elementos do inquérito policial (leitura constitucional e convencional do art. 155 do CPP, à luz do princípio acusatório e do devido processo legal)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155. O juiz formará sua convicção pela livre apreciação da prova produzida em contraditório judicial, não podendo fundamentar sua decisão exclusivamente nos elementos informativos colhidos na investigação, ressalvadas as provas cautelares, não repetíveis e antecipadas. (Redação dada pela Lei nº 11.690, de 2008)</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É certo que os atos praticados durante a fase inquisitória são atos de investigação que servem para fundamentar medidas de natureza </w:t>
      </w:r>
      <w:proofErr w:type="spellStart"/>
      <w:r w:rsidRPr="008C75D5">
        <w:rPr>
          <w:rFonts w:ascii="Cambria" w:hAnsi="Cambria" w:cs="Arial"/>
          <w:bCs/>
        </w:rPr>
        <w:t>endoprocessual</w:t>
      </w:r>
      <w:proofErr w:type="spellEnd"/>
      <w:r w:rsidRPr="008C75D5">
        <w:rPr>
          <w:rFonts w:ascii="Cambria" w:hAnsi="Cambria" w:cs="Arial"/>
          <w:bCs/>
        </w:rPr>
        <w:t xml:space="preserve"> (cautelares reais e pessoais etc.) e a admissão ou não da acusação. Todavia, não servem para fundamentar a condenação, uma vez que não produzidos sob a égide do contraditório, com plena observância de todas as garantias.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proofErr w:type="spellStart"/>
      <w:r w:rsidRPr="008C75D5">
        <w:rPr>
          <w:rFonts w:ascii="Cambria" w:hAnsi="Cambria" w:cs="Arial"/>
          <w:bCs/>
        </w:rPr>
        <w:t>Aury</w:t>
      </w:r>
      <w:proofErr w:type="spellEnd"/>
      <w:r w:rsidRPr="008C75D5">
        <w:rPr>
          <w:rFonts w:ascii="Cambria" w:hAnsi="Cambria" w:cs="Arial"/>
          <w:bCs/>
        </w:rPr>
        <w:t xml:space="preserve"> Lopes Júnior (Direito Processual Penal, 9ª edição, editora Saraiva, 2012, p. 333) é preciso: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w:t>
      </w:r>
      <w:r w:rsidRPr="008C75D5">
        <w:rPr>
          <w:rFonts w:ascii="Cambria" w:hAnsi="Cambria" w:cs="Arial"/>
          <w:bCs/>
          <w:i/>
        </w:rPr>
        <w:t xml:space="preserve">O inquérito policial somente pode gerar o que anteriormente classificamos como </w:t>
      </w:r>
      <w:r w:rsidRPr="008C75D5">
        <w:rPr>
          <w:rFonts w:ascii="Cambria" w:hAnsi="Cambria" w:cs="Arial"/>
          <w:bCs/>
          <w:iCs/>
        </w:rPr>
        <w:t>atos de investigação</w:t>
      </w:r>
      <w:r w:rsidRPr="008C75D5">
        <w:rPr>
          <w:rFonts w:ascii="Cambria" w:hAnsi="Cambria" w:cs="Arial"/>
          <w:bCs/>
          <w:i/>
        </w:rPr>
        <w:t xml:space="preserve"> e essa limitação de eficácia está justificada pela forma mediante a qual são praticados, em uma estrutura tipicamente inquisitiva, representada pelo segredo, a forma escrita e a ausência ou excessiva limitação do contraditório. </w:t>
      </w:r>
      <w:r w:rsidRPr="008C75D5">
        <w:rPr>
          <w:rFonts w:ascii="Cambria" w:hAnsi="Cambria" w:cs="Arial"/>
          <w:bCs/>
          <w:i/>
          <w:u w:val="single"/>
        </w:rPr>
        <w:t xml:space="preserve">Destarte, por não </w:t>
      </w:r>
      <w:r w:rsidRPr="008C75D5">
        <w:rPr>
          <w:rFonts w:ascii="Cambria" w:hAnsi="Cambria" w:cs="Arial"/>
          <w:bCs/>
          <w:i/>
          <w:u w:val="single"/>
        </w:rPr>
        <w:lastRenderedPageBreak/>
        <w:t>observar os incisos LIII, LIV, LV, e LVI do art. 5° e o inciso IX do art. 93 da nossa Constituição, bom como o art. 8º da CADH, o inquérito policial jamais poderá gerar elementos de convicção valoráveis na sentença par justificar a condenação</w:t>
      </w: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Demonstração: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1) Prova oral produzida perante um juiz togado sem a presença de advogado constituído ou Defensor Público: violação à ampla defesa – nulidade absoluta (e havia juiz);</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2) Prova emprestada de processo do qual o acusado não participou (não participou do contraditório original): violação ao contraditório – nulidade absoluta (e havia juiz);</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Conclusão: como dar primazia ao inquérito policial, onde não há contraditório e ampla defesa e sequer há juiz?</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Crítica: tentativa de “legitimar” o inquérito policial (expressão correta: “consta que...”).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Crítica: confissões na fase policial (delegacia de polícia)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Para piorar...</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Súmula 342 do STJ: “</w:t>
      </w:r>
      <w:r w:rsidRPr="008C75D5">
        <w:rPr>
          <w:rFonts w:ascii="Cambria" w:hAnsi="Cambria" w:cs="Arial"/>
          <w:bCs/>
          <w:i/>
        </w:rPr>
        <w:t xml:space="preserve">No procedimento para aplicação de medida </w:t>
      </w:r>
      <w:proofErr w:type="spellStart"/>
      <w:r w:rsidRPr="008C75D5">
        <w:rPr>
          <w:rFonts w:ascii="Cambria" w:hAnsi="Cambria" w:cs="Arial"/>
          <w:bCs/>
          <w:i/>
        </w:rPr>
        <w:t>sócio-educativa</w:t>
      </w:r>
      <w:proofErr w:type="spellEnd"/>
      <w:r w:rsidRPr="008C75D5">
        <w:rPr>
          <w:rFonts w:ascii="Cambria" w:hAnsi="Cambria" w:cs="Arial"/>
          <w:bCs/>
          <w:i/>
        </w:rPr>
        <w:t>, é nula a desistência de outras provas em face da confissão do adolescente</w:t>
      </w: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(TERCEIRA SEÇÃO, julgado em 27/06/2007, DJ 13/08/2007, p. 581)</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Juntada da “oitiva informal” do adolescente perante o Ministério Público e da sua oitiva no juízo da Infância e da Juventude no processo envolvendo agente imputável: nulidade (violação do contraditório – DPE).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No caso da oitiva informal, é certo que não foi precedida da advertência quanto ao direito ao silêncio e à proteção contra a autoincriminação, garantias fundamentais </w:t>
      </w:r>
      <w:r w:rsidRPr="008C75D5">
        <w:rPr>
          <w:rFonts w:ascii="Cambria" w:hAnsi="Cambria" w:cs="Arial"/>
          <w:bCs/>
        </w:rPr>
        <w:lastRenderedPageBreak/>
        <w:t>insculpidas no artigo 5°, inciso LXIII, da Constituição Federal; no artigo 8°, 2, “g”, da Convenção Americana de Direito Humanos, de 1969; no artigo 14, 3, “g”, do Pacto Internacional dos Direitos Civis e Políticos, de 1966, e a combinação do artigo 152, do Estatuto da Criança e do Adolescente, com os artigos 186 e 6°, inciso V, do Código de Processo Penal.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Ainda que os documentos (oitivas do adolescente) entrem nesse processo pela forma documental (não pela via correta: depoimento oral), os mesmos questionamentos permanecem impedidos de serem feitos, de forma que permanece violado o contraditório garantido no artigo 5°, inciso LV, da Constituição Federal; artigo 8°, 1 e 3, da Convenção Americana de Direito Humanos, de 1969 – ratificada pelo Brasil pelo Decreto 678, de 6.11.1992; artigo 14, 1, do Pacto Internacional dos Direitos Civis e Políticos, de 1966, – ratificada pelo Brasil pelo Decreto 592, de 6.07.1992, ambas com status de norma </w:t>
      </w:r>
      <w:r w:rsidRPr="008C75D5">
        <w:rPr>
          <w:rFonts w:ascii="Cambria" w:hAnsi="Cambria" w:cs="Arial"/>
          <w:bCs/>
          <w:i/>
          <w:iCs/>
        </w:rPr>
        <w:t>supralegal</w:t>
      </w:r>
      <w:r w:rsidRPr="008C75D5">
        <w:rPr>
          <w:rFonts w:ascii="Cambria" w:hAnsi="Cambria" w:cs="Arial"/>
          <w:bCs/>
        </w:rPr>
        <w:t xml:space="preserve"> e artigo 155, Código de Processo Penal.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Violação de domicílio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Em 5 de maio de 2015, o Plenário do Supremo Tribunal Federal, ao julgar o Recurso Extraordinário nº 603616, com repercussão geral reconhecida, fixou a tese de que “</w:t>
      </w:r>
      <w:r w:rsidRPr="008C75D5">
        <w:rPr>
          <w:rFonts w:ascii="Cambria" w:hAnsi="Cambria" w:cs="Arial"/>
          <w:bCs/>
          <w:i/>
          <w:iCs/>
        </w:rPr>
        <w:t xml:space="preserve">a entrada forçada em domicílio sem mandado judicial só é lícita, mesmo em período noturno, quando amparada em fundadas razões, devidamente justificadas </w:t>
      </w:r>
      <w:r w:rsidRPr="008C75D5">
        <w:rPr>
          <w:rFonts w:ascii="Cambria" w:hAnsi="Cambria" w:cs="Arial"/>
          <w:bCs/>
        </w:rPr>
        <w:t>a posteriori</w:t>
      </w:r>
      <w:r w:rsidRPr="008C75D5">
        <w:rPr>
          <w:rFonts w:ascii="Cambria" w:hAnsi="Cambria" w:cs="Arial"/>
          <w:bCs/>
          <w:i/>
          <w:iCs/>
        </w:rPr>
        <w:t>, que indiquem que dentro da casa ocorre situação de flagrante delito, sob pena de responsabilidade disciplinar, civil e penal do agente ou da autoridade, e de nulidade dos atos praticados</w:t>
      </w: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 tese, fixada em processo submetido à sistemática da repercussão geral, deve ser observada pelos demais órgãos do Poder Judiciário, nos termos do art. 927, V, do Novo CPC.</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927. Os juízes e os tribunais observarão: V - a orientação do plenário ou do órgão especial aos quais estiverem vinculados.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Tese institucional da DPE/SP: ausência de contexto emergencial impede entrada em domicílio (ainda que por “fundada suspeita”)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Os policiais militares afirmaram que receberam “denúncia anônima” que o acusado se utilizava do imóvel para exercer o tráfico de drogas.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Ao invés de os policiais solicitarem mandado de busca domiciliar para quaisquer fins, preferiram efetuar a diligência por si mesmos.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Não havia situação de flagrante permanente que autorizasse o ingresso da polícia no imóvel. Isso porque as situações que autorizam o ingresso em domicílio alheio a qualquer hora do dia ou da noite sem autorização do morador estão previstas no artigo 5º, inciso XI, da CF/88, sendo todas elas representativas de um </w:t>
      </w:r>
      <w:r w:rsidRPr="008C75D5">
        <w:rPr>
          <w:rFonts w:ascii="Cambria" w:hAnsi="Cambria" w:cs="Arial"/>
          <w:bCs/>
          <w:u w:val="single"/>
        </w:rPr>
        <w:t>contexto emergencial</w:t>
      </w:r>
      <w:r w:rsidRPr="008C75D5">
        <w:rPr>
          <w:rFonts w:ascii="Cambria" w:hAnsi="Cambria" w:cs="Arial"/>
          <w:bCs/>
        </w:rPr>
        <w:t xml:space="preserve">, em que seria absurdo esperar por uma ordem judicial ou pelo consentimento do morador para o ingresso no domicílio alheio: </w:t>
      </w:r>
      <w:r w:rsidRPr="008C75D5">
        <w:rPr>
          <w:rFonts w:ascii="Cambria" w:hAnsi="Cambria" w:cs="Arial"/>
          <w:bCs/>
          <w:u w:val="single"/>
        </w:rPr>
        <w:t>desastre, prestar socorro e flagrante delito</w:t>
      </w:r>
      <w:r w:rsidRPr="008C75D5">
        <w:rPr>
          <w:rFonts w:ascii="Cambria" w:hAnsi="Cambria" w:cs="Arial"/>
          <w:bCs/>
        </w:rPr>
        <w:t>. A regra é que somente se ingresse em domicílio alheio durante o dia, sem consentimento do morador, com ordem judicial. Essa é a regra. Portanto, em princípio, caso a polícia deseje ingressar em domicílio alheio, sem o consentimento do morador, deverá fazê-lo baseada em ordem judicial.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As demais situações que dispensam o consentimento do morador têm sua justificativa no fato de que não comportam razoavelmente que se aguarde por uma ordem judicial. Se existe um desastre ou é necessário prestar socorro, há que se entrar no domicílio alheio. Entretanto, em caso de flagrante delito, não será qualquer hipótese de flagrante permanente que irá autorizar esse ingresso.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Magistrado e professor Livre Docente da Faculdade de Direito da USP/Ribeirão Preto, Cláudio do Prado Amaral (autos n° 0000038-12.2013.8.26.0566, 2ª Vara Criminal de São Carlos, sentença de 14 de dezembro de 2013) afirma que: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“O artigo 5º, inciso XI, da CF/88 deverá receber interpretação teleológica, justamente por isso. Caso o crime permanente exija imediato ingresso dos policiais com dispensa do consentimento do morador, para se evitar um mal maior, não se deve pensar duas vezes e o ingresso deve ser efetivado. Se o crime permanente, e a respectiva situação de flagrante permanente, não demandam urgência e comportam, admitem, que se aguarde por uma ordem judicial, esta deve ser buscada em atenção ao devido processo </w:t>
      </w:r>
      <w:r w:rsidRPr="008C75D5">
        <w:rPr>
          <w:rFonts w:ascii="Cambria" w:hAnsi="Cambria" w:cs="Arial"/>
          <w:bCs/>
        </w:rPr>
        <w:lastRenderedPageBreak/>
        <w:t>(...). A interpretação teleológica constitucional é a que melhor atende aos fins de justiça conforme ensinam a doutrina e a jurisprudência, inclusive em prejuízo das interpretações gramatical, objetiva e subjetiva”.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Doutrina: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O flagrante que constitui </w:t>
      </w:r>
      <w:r w:rsidRPr="008C75D5">
        <w:rPr>
          <w:rFonts w:ascii="Cambria" w:hAnsi="Cambria" w:cs="Arial"/>
          <w:bCs/>
          <w:u w:val="single"/>
        </w:rPr>
        <w:t>verdadeira emergência</w:t>
      </w:r>
      <w:r w:rsidRPr="008C75D5">
        <w:rPr>
          <w:rFonts w:ascii="Cambria" w:hAnsi="Cambria" w:cs="Arial"/>
          <w:bCs/>
        </w:rPr>
        <w:t xml:space="preserve"> para que se admita a violação domiciliar a qualquer hora do dia ou da noite sem prévia autorização judicial. Seriam hipóteses, por exemplo, de flagrante de crimes permanentes como a extorsão mediante sequestro, em que há a necessidade de prestar-se socorro imediato à vítima que corre perigo de vida etc., </w:t>
      </w:r>
      <w:r w:rsidRPr="008C75D5">
        <w:rPr>
          <w:rFonts w:ascii="Cambria" w:hAnsi="Cambria" w:cs="Arial"/>
          <w:bCs/>
          <w:u w:val="single"/>
        </w:rPr>
        <w:t>o que não se verifica em casos de crimes permanentes como a simples posse de entorpecentes ou de armas ilegais</w:t>
      </w:r>
      <w:r w:rsidRPr="008C75D5">
        <w:rPr>
          <w:rFonts w:ascii="Cambria" w:hAnsi="Cambria" w:cs="Arial"/>
          <w:bCs/>
        </w:rPr>
        <w:t xml:space="preserve">. [...] Não obstante se possa alegar que esse entendimento poderia obstaculizar a ação policial, </w:t>
      </w:r>
      <w:r w:rsidRPr="008C75D5">
        <w:rPr>
          <w:rFonts w:ascii="Cambria" w:hAnsi="Cambria" w:cs="Arial"/>
          <w:bCs/>
          <w:u w:val="single"/>
        </w:rPr>
        <w:t>este é o preço que se paga por viver em um Estado Democrático de Direito, que se deve tomar todas as medidas para restringir, ao máximo, a possibilidade de arbítrios e desmandos das autoridades policiais por mais bem intencionadas que possam elas estar</w:t>
      </w:r>
      <w:r w:rsidRPr="008C75D5">
        <w:rPr>
          <w:rFonts w:ascii="Cambria" w:hAnsi="Cambria" w:cs="Arial"/>
          <w:bCs/>
        </w:rPr>
        <w:t xml:space="preserve">.” (DELMANTO, Celso. Código penal comentado. 6ª Ed. Atual. E </w:t>
      </w:r>
      <w:proofErr w:type="spellStart"/>
      <w:r w:rsidRPr="008C75D5">
        <w:rPr>
          <w:rFonts w:ascii="Cambria" w:hAnsi="Cambria" w:cs="Arial"/>
          <w:bCs/>
        </w:rPr>
        <w:t>ampl</w:t>
      </w:r>
      <w:proofErr w:type="spellEnd"/>
      <w:r w:rsidRPr="008C75D5">
        <w:rPr>
          <w:rFonts w:ascii="Cambria" w:hAnsi="Cambria" w:cs="Arial"/>
          <w:bCs/>
        </w:rPr>
        <w:t>. – Rio de Janeiro: Renovar, 2002, 324p.)</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 o presente caso não sugeria, de modo algum, que haveria partida de drogas, tampouco que a prova de eventual traficância seria prejudicada por qualquer demora.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Admitir que podem ser utilizadas provas colhidas nessas circunstâncias é o mesmo que assumir que o Estado pode arbitrariamente invadir domicílios, depois de realizar flagrantes em locais diversos, violando direitos constitucionais individuais, pois, caso venha-se a descobrir um crime, estará justificada a invasão do domicílio.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Estes fatos, obviamente, comprometem absolutamente toda a prova produzida, uma vez que as provas foram colhidas a partir de uma invasão domiciliar, longe de ter sido devidamente autorizada.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Pelos motivos acima, a prova colhida é ilegítima constitucionalmente, nos termos do art. 5º, inciso LVI, da Constituição Federal.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 xml:space="preserve">E de acordo com a teoria dos frutos da árvore envenenada, aliás, </w:t>
      </w:r>
      <w:r w:rsidRPr="008C75D5">
        <w:rPr>
          <w:rFonts w:ascii="Cambria" w:hAnsi="Cambria" w:cs="Arial"/>
          <w:bCs/>
          <w:u w:val="single"/>
        </w:rPr>
        <w:t>todas as provas colhidas que apontarem em desfavor do réu são ilícitas por derivação</w:t>
      </w:r>
      <w:r w:rsidRPr="008C75D5">
        <w:rPr>
          <w:rFonts w:ascii="Cambria" w:hAnsi="Cambria" w:cs="Arial"/>
          <w:bCs/>
        </w:rPr>
        <w:t xml:space="preserve"> (art. 157, §1º, CPP).</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Assim, evidenciada a ilicitude da invasão do domicílio, requer-se a sua declaração, com a consequente desconsideração das diligências diretamente relacionadas à invasão domiciliar – ou seja: a totalidade das provas acusatórias constantes do auto de apreensão – e o desentranhamento dos autos de tais provas (art. 157, CPP).</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Leitura da denúncia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204. O depoimento será prestado oralmente, não sendo permitido à testemunha trazê-lo por escrito.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Parágrafo único. Não será vedada à testemunha, entretanto, breve consulta a apontamentos.</w:t>
      </w:r>
    </w:p>
    <w:p w:rsidR="008C75D5" w:rsidRPr="008C75D5" w:rsidRDefault="008C75D5" w:rsidP="008C75D5">
      <w:pPr>
        <w:spacing w:line="360" w:lineRule="auto"/>
        <w:ind w:firstLine="1134"/>
        <w:jc w:val="both"/>
        <w:rPr>
          <w:rFonts w:ascii="Cambria" w:hAnsi="Cambria" w:cs="Arial"/>
          <w:bCs/>
          <w:lang w:val="pt-PT"/>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lang w:val="pt-PT"/>
        </w:rPr>
        <w:t xml:space="preserve">Eugênio </w:t>
      </w:r>
      <w:proofErr w:type="spellStart"/>
      <w:r w:rsidRPr="008C75D5">
        <w:rPr>
          <w:rFonts w:ascii="Cambria" w:hAnsi="Cambria" w:cs="Arial"/>
          <w:bCs/>
          <w:lang w:val="pt-PT"/>
        </w:rPr>
        <w:t>Pacelli</w:t>
      </w:r>
      <w:proofErr w:type="spellEnd"/>
      <w:r w:rsidRPr="008C75D5">
        <w:rPr>
          <w:rFonts w:ascii="Cambria" w:hAnsi="Cambria" w:cs="Arial"/>
          <w:bCs/>
          <w:lang w:val="pt-PT"/>
        </w:rPr>
        <w:t xml:space="preserve"> e Douglas </w:t>
      </w:r>
      <w:proofErr w:type="spellStart"/>
      <w:r w:rsidRPr="008C75D5">
        <w:rPr>
          <w:rFonts w:ascii="Cambria" w:hAnsi="Cambria" w:cs="Arial"/>
          <w:bCs/>
          <w:lang w:val="pt-PT"/>
        </w:rPr>
        <w:t>Fischer</w:t>
      </w:r>
      <w:proofErr w:type="spellEnd"/>
      <w:r w:rsidRPr="008C75D5">
        <w:rPr>
          <w:rFonts w:ascii="Cambria" w:hAnsi="Cambria" w:cs="Arial"/>
          <w:bCs/>
          <w:lang w:val="pt-PT"/>
        </w:rPr>
        <w:t xml:space="preserve"> destacam que “</w:t>
      </w:r>
      <w:r w:rsidRPr="008C75D5">
        <w:rPr>
          <w:rFonts w:ascii="Cambria" w:hAnsi="Cambria" w:cs="Arial"/>
          <w:bCs/>
          <w:i/>
          <w:u w:val="single"/>
          <w:lang w:val="pt-PT"/>
        </w:rPr>
        <w:t xml:space="preserve">o que se quer evitar [com a redação do </w:t>
      </w:r>
      <w:proofErr w:type="spellStart"/>
      <w:r w:rsidRPr="008C75D5">
        <w:rPr>
          <w:rFonts w:ascii="Cambria" w:hAnsi="Cambria" w:cs="Arial"/>
          <w:bCs/>
          <w:i/>
          <w:u w:val="single"/>
          <w:lang w:val="pt-PT"/>
        </w:rPr>
        <w:t>art</w:t>
      </w:r>
      <w:proofErr w:type="spellEnd"/>
      <w:r w:rsidRPr="008C75D5">
        <w:rPr>
          <w:rFonts w:ascii="Cambria" w:hAnsi="Cambria" w:cs="Arial"/>
          <w:bCs/>
          <w:i/>
          <w:u w:val="single"/>
          <w:lang w:val="pt-PT"/>
        </w:rPr>
        <w:t xml:space="preserve">. 204, do CPP] é a </w:t>
      </w:r>
      <w:r w:rsidRPr="008C75D5">
        <w:rPr>
          <w:rFonts w:ascii="Cambria" w:hAnsi="Cambria" w:cs="Arial"/>
          <w:bCs/>
          <w:i/>
          <w:iCs/>
          <w:u w:val="single"/>
          <w:lang w:val="pt-PT"/>
        </w:rPr>
        <w:t>programação</w:t>
      </w:r>
      <w:r w:rsidRPr="008C75D5">
        <w:rPr>
          <w:rFonts w:ascii="Cambria" w:hAnsi="Cambria" w:cs="Arial"/>
          <w:bCs/>
          <w:i/>
          <w:u w:val="single"/>
          <w:lang w:val="pt-PT"/>
        </w:rPr>
        <w:t xml:space="preserve"> do depoimento, que certamente impediria uma reprodução </w:t>
      </w:r>
      <w:r w:rsidRPr="008C75D5">
        <w:rPr>
          <w:rFonts w:ascii="Cambria" w:hAnsi="Cambria" w:cs="Arial"/>
          <w:bCs/>
          <w:i/>
          <w:iCs/>
          <w:u w:val="single"/>
          <w:lang w:val="pt-PT"/>
        </w:rPr>
        <w:t>espontânea</w:t>
      </w:r>
      <w:r w:rsidRPr="008C75D5">
        <w:rPr>
          <w:rFonts w:ascii="Cambria" w:hAnsi="Cambria" w:cs="Arial"/>
          <w:bCs/>
          <w:i/>
          <w:u w:val="single"/>
          <w:lang w:val="pt-PT"/>
        </w:rPr>
        <w:t xml:space="preserve"> quanto aos conhecimentos pessoais da testemunha acerca dos fatos</w:t>
      </w:r>
      <w:r w:rsidRPr="008C75D5">
        <w:rPr>
          <w:rFonts w:ascii="Cambria" w:hAnsi="Cambria" w:cs="Arial"/>
          <w:bCs/>
          <w:lang w:val="pt-PT"/>
        </w:rPr>
        <w:t xml:space="preserve">”. Se o magistrado realiza a leitura prévia do depoimento para a testemunha, já está viciando seu depoimento, que tenderá a homologar aquilo ouvido em audiência.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lang w:val="pt-PT"/>
        </w:rPr>
      </w:pPr>
      <w:r w:rsidRPr="008C75D5">
        <w:rPr>
          <w:rFonts w:ascii="Cambria" w:hAnsi="Cambria" w:cs="Arial"/>
          <w:bCs/>
          <w:lang w:val="pt-PT"/>
        </w:rPr>
        <w:t>Esclarecem os autores que “</w:t>
      </w:r>
      <w:r w:rsidRPr="008C75D5">
        <w:rPr>
          <w:rFonts w:ascii="Cambria" w:hAnsi="Cambria" w:cs="Arial"/>
          <w:bCs/>
          <w:i/>
          <w:iCs/>
          <w:lang w:val="pt-PT"/>
        </w:rPr>
        <w:t>o que se quer impedir é a memória prévia da narrativa, como se o conhecimento dos fatos dependesse de informações de terceiros</w:t>
      </w:r>
      <w:r w:rsidRPr="008C75D5">
        <w:rPr>
          <w:rFonts w:ascii="Cambria" w:hAnsi="Cambria" w:cs="Arial"/>
          <w:bCs/>
          <w:lang w:val="pt-PT"/>
        </w:rPr>
        <w:t>”, como a leitura prévia do depoimento em delegacia, acrescentando que “</w:t>
      </w:r>
      <w:r w:rsidRPr="008C75D5">
        <w:rPr>
          <w:rFonts w:ascii="Cambria" w:hAnsi="Cambria" w:cs="Arial"/>
          <w:bCs/>
          <w:i/>
          <w:iCs/>
          <w:lang w:val="pt-PT"/>
        </w:rPr>
        <w:t>o que deve ser colhido em instrução é o conhecimento pessoal do depoente e não as impressões que lhe foram repassadas por terceiros</w:t>
      </w:r>
      <w:r w:rsidRPr="008C75D5">
        <w:rPr>
          <w:rFonts w:ascii="Cambria" w:hAnsi="Cambria" w:cs="Arial"/>
          <w:bCs/>
          <w:lang w:val="pt-PT"/>
        </w:rPr>
        <w:t xml:space="preserve">”. </w:t>
      </w: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w:t>
      </w:r>
      <w:proofErr w:type="spellStart"/>
      <w:r w:rsidRPr="008C75D5">
        <w:rPr>
          <w:rFonts w:ascii="Cambria" w:hAnsi="Cambria" w:cs="Arial"/>
          <w:bCs/>
        </w:rPr>
        <w:t>Pacelli</w:t>
      </w:r>
      <w:proofErr w:type="spellEnd"/>
      <w:r w:rsidRPr="008C75D5">
        <w:rPr>
          <w:rFonts w:ascii="Cambria" w:hAnsi="Cambria" w:cs="Arial"/>
          <w:bCs/>
        </w:rPr>
        <w:t xml:space="preserve"> de Oliveira, Eugênio e Fischer, Douglas. Comentários ao Código de Processo Penal e sua jurisprudência. 4ª ed. São Paulo: Atlas, 2012, p. 403 e 412).</w:t>
      </w:r>
    </w:p>
    <w:p w:rsidR="008C75D5" w:rsidRPr="008C75D5" w:rsidRDefault="008C75D5" w:rsidP="008C75D5">
      <w:pPr>
        <w:spacing w:line="360" w:lineRule="auto"/>
        <w:ind w:firstLine="1134"/>
        <w:jc w:val="both"/>
        <w:rPr>
          <w:rFonts w:ascii="Cambria" w:hAnsi="Cambria" w:cs="Arial"/>
          <w:bCs/>
          <w:lang w:val="pt-PT"/>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lang w:val="pt-PT"/>
        </w:rPr>
        <w:t xml:space="preserve">O Código de Processo Penal é claro em seu </w:t>
      </w:r>
      <w:proofErr w:type="spellStart"/>
      <w:r w:rsidRPr="008C75D5">
        <w:rPr>
          <w:rFonts w:ascii="Cambria" w:hAnsi="Cambria" w:cs="Arial"/>
          <w:bCs/>
          <w:lang w:val="pt-PT"/>
        </w:rPr>
        <w:t>art</w:t>
      </w:r>
      <w:proofErr w:type="spellEnd"/>
      <w:r w:rsidRPr="008C75D5">
        <w:rPr>
          <w:rFonts w:ascii="Cambria" w:hAnsi="Cambria" w:cs="Arial"/>
          <w:bCs/>
          <w:lang w:val="pt-PT"/>
        </w:rPr>
        <w:t xml:space="preserve">. 212 ao determinar que o </w:t>
      </w:r>
      <w:r w:rsidRPr="008C75D5">
        <w:rPr>
          <w:rFonts w:ascii="Cambria" w:hAnsi="Cambria" w:cs="Arial"/>
          <w:bCs/>
          <w:u w:val="single"/>
          <w:lang w:val="pt-PT"/>
        </w:rPr>
        <w:t>juiz indeferirá as perguntas realizadas pelas partes que possam induzir a resposta</w:t>
      </w:r>
      <w:r w:rsidRPr="008C75D5">
        <w:rPr>
          <w:rFonts w:ascii="Cambria" w:hAnsi="Cambria" w:cs="Arial"/>
          <w:bCs/>
          <w:lang w:val="pt-PT"/>
        </w:rPr>
        <w:t xml:space="preserve"> da </w:t>
      </w:r>
      <w:r w:rsidRPr="008C75D5">
        <w:rPr>
          <w:rFonts w:ascii="Cambria" w:hAnsi="Cambria" w:cs="Arial"/>
          <w:bCs/>
          <w:lang w:val="pt-PT"/>
        </w:rPr>
        <w:lastRenderedPageBreak/>
        <w:t>testemunha. Se as partes não podem efetuar este tipo de pergunta, menos ainda o magistrado, que deve prezar pela imparcialidade em sua atuação.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w:t>
      </w:r>
      <w:r w:rsidRPr="008C75D5">
        <w:rPr>
          <w:rFonts w:ascii="Cambria" w:hAnsi="Cambria" w:cs="Arial"/>
          <w:bCs/>
          <w:i/>
        </w:rPr>
        <w:t xml:space="preserve">TESTEMUNHAS. INQUIRIÇÃO. JUIZ. DEPOIMENTO POLICIAL. LEITURA. RATIFICAÇÃO. A discussão diz respeito à maneira pela qual o magistrado efetuou a oitiva de testemunhas de acusação, ou seja, a forma como a prova ingressou nos autos. Na espécie, o juiz leu os depoimentos prestados perante a autoridade policial, indagando, em seguida, das testemunhas se elas ratificavam tais declarações. O tribunal </w:t>
      </w:r>
      <w:r w:rsidRPr="008C75D5">
        <w:rPr>
          <w:rFonts w:ascii="Cambria" w:hAnsi="Cambria" w:cs="Arial"/>
          <w:bCs/>
          <w:i/>
          <w:iCs/>
        </w:rPr>
        <w:t>a quo</w:t>
      </w:r>
      <w:r w:rsidRPr="008C75D5">
        <w:rPr>
          <w:rFonts w:ascii="Cambria" w:hAnsi="Cambria" w:cs="Arial"/>
          <w:bCs/>
          <w:i/>
        </w:rPr>
        <w:t xml:space="preserve"> afastou a ocorrência de nulidade, por entender que a defesa encontrava-se presente na audiência na qual teve oportunidade para formular perguntas para as testemunhas. Nesse panorama, destacou a Min. Relatora que, segundo a inteligência do art. 203 do CPP, o depoimento da testemunha ingressa nos autos de maneira oral. Outrossim, frisou que, desse comando, retiram-se, em especial, duas diretrizes. A primeira, ligada ao relato, que será oral, reforçado, inclusive, pelo art. 204 do CPP. A segunda refere-se ao filtro de fidedignidade, ou seja, ao modo pelo qual a prova ingressa nos autos. Dessa forma, ressaltou que a produção da prova testemunhal, por ser complexa, envolve não só o fornecimento do relato oral, mas também o filtro de credibilidade das informações apresentadas. </w:t>
      </w:r>
      <w:r w:rsidRPr="008C75D5">
        <w:rPr>
          <w:rFonts w:ascii="Cambria" w:hAnsi="Cambria" w:cs="Arial"/>
          <w:bCs/>
          <w:i/>
          <w:iCs/>
        </w:rPr>
        <w:t xml:space="preserve">In </w:t>
      </w:r>
      <w:proofErr w:type="spellStart"/>
      <w:r w:rsidRPr="008C75D5">
        <w:rPr>
          <w:rFonts w:ascii="Cambria" w:hAnsi="Cambria" w:cs="Arial"/>
          <w:bCs/>
          <w:i/>
          <w:iCs/>
        </w:rPr>
        <w:t>casu</w:t>
      </w:r>
      <w:proofErr w:type="spellEnd"/>
      <w:r w:rsidRPr="008C75D5">
        <w:rPr>
          <w:rFonts w:ascii="Cambria" w:hAnsi="Cambria" w:cs="Arial"/>
          <w:bCs/>
          <w:i/>
        </w:rPr>
        <w:t xml:space="preserve">, tal peculiaridade foi </w:t>
      </w:r>
      <w:r w:rsidRPr="008C75D5">
        <w:rPr>
          <w:rFonts w:ascii="Cambria" w:hAnsi="Cambria" w:cs="Arial"/>
          <w:bCs/>
          <w:i/>
          <w:u w:val="single"/>
        </w:rPr>
        <w:t>maculada pelo modo como empreendida a instrução, na medida em que o depoimento policial foi chancelado como judicial com uma simples confirmação, não havendo como, dessa maneira, aferir sua credibilidade</w:t>
      </w:r>
      <w:r w:rsidRPr="008C75D5">
        <w:rPr>
          <w:rFonts w:ascii="Cambria" w:hAnsi="Cambria" w:cs="Arial"/>
          <w:bCs/>
          <w:i/>
        </w:rPr>
        <w:t xml:space="preserve">. </w:t>
      </w:r>
      <w:r w:rsidRPr="008C75D5">
        <w:rPr>
          <w:rFonts w:ascii="Cambria" w:hAnsi="Cambria" w:cs="Arial"/>
          <w:bCs/>
          <w:i/>
          <w:u w:val="single"/>
        </w:rPr>
        <w:t>Assim, concluiu não se mostrar lícita a mera leitura do magistrado das declarações prestadas na fase inquisitória, para que a testemunha, em seguida, ratifique-a</w:t>
      </w:r>
      <w:r w:rsidRPr="008C75D5">
        <w:rPr>
          <w:rFonts w:ascii="Cambria" w:hAnsi="Cambria" w:cs="Arial"/>
          <w:bCs/>
          <w:i/>
        </w:rPr>
        <w:t>. Com essas, entre outras considerações, a Turma, prosseguindo o julgamento, concedeu a ordem para anular a ação penal a partir da audiência de testemunhas de acusação, a fim de que seja refeita a colheita da prova testemunhal, mediante a regular realização das oitivas, com a efetiva tomada de depoimento, sem a mera reiteração das declarações prestadas perante a autoridade policial. Precedentes citados do STF: HC 75.652- MG, DJ 19/12/1997, e HC 54.161-RJ, DJ 22/4/1976</w:t>
      </w:r>
      <w:r w:rsidRPr="008C75D5">
        <w:rPr>
          <w:rFonts w:ascii="Cambria" w:hAnsi="Cambria" w:cs="Arial"/>
          <w:bCs/>
        </w:rPr>
        <w:t xml:space="preserve">”. </w:t>
      </w: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(STJ, HC 183.696-ES, Rel. Min. Maria Thereza de Assis Moura, julgado em 14/2/2012. 6ª Turma).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Dificuldade: prejuízo decorrente da demora dos Tribunais Superiores em conhecer a matéria.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Contexto de guerra às drogas.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Ainda que o acusado não saiba indicar os motivos concretos pelos quais os policiais estariam apresentando versão diversa, não se pode ignorar o contexto de guerra às drogas em que estão inseridos e as frequentes violações a direitos que nela ocorrem.</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Reportagem (observar como os fatos constaram do Boletim de Ocorrência em relação à sua real dinâmica):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http://g1.globo.com/sao-paulo/noticia/2016/02/policial-que-agrediu-comerciante-sera-afastado-diz-secretaria-de-seguranca.html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Crítica: policiais são os verdadeiros juízes (Estado Policial)?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Demonstração do tráfico (intuito de cessão a terceiros com finalidade lucrativa): desclassificação (art. 28, da Lei 11.343/06)</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28, § 2</w:t>
      </w:r>
      <w:r w:rsidRPr="008C75D5">
        <w:rPr>
          <w:rFonts w:ascii="Cambria" w:hAnsi="Cambria" w:cs="Arial"/>
          <w:bCs/>
          <w:u w:val="single"/>
          <w:vertAlign w:val="superscript"/>
        </w:rPr>
        <w:t>o</w:t>
      </w:r>
      <w:r w:rsidRPr="008C75D5">
        <w:rPr>
          <w:rFonts w:ascii="Cambria" w:hAnsi="Cambria" w:cs="Arial"/>
          <w:bCs/>
        </w:rPr>
        <w:t xml:space="preserve"> Para determinar se a droga destinava-se a consumo pessoal, o juiz atenderá à natureza e à quantidade da substância apreendida, ao local e às condições em que se desenvolveu a ação, às circunstâncias sociais e pessoais, bem como à conduta e aos antecedentes do agente.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52. Findos os prazos a que se refere o art. 51 desta Lei, a autoridade de polícia judiciária, remetendo os autos do inquérito ao juízo: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 - relatará sumariamente as circunstâncias do fato, justificando as razões que a levaram à classificação do delito, indicando a quantidade e natureza da substância ou do produto apreendido, o local e as condições em que se desenvolveu a ação criminosa, as circunstâncias da prisão, a conduta, a qualificação e os antecedentes do agente;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Circunstâncias: quantidade compatível com o uso; dinheiro decorrente de atividade informal; sem petrechos que favoreçam o para tráfico (balança, celular, anotações); local de venda é o mesmo de uso; embalagem da droga para venda é a mesma embalagem que se porta após a compra (tráfico? Uso próprio?).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Demonstração: difícil, em razão de permanecer preso ao longo do processo. Indeferimento de provas requerida após contato com Defensor Público.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Importante: Recurso Extraordinário 635659 (discussão acerca da inconstitucionalidade: violação da alteridade)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Causa de diminuição (tráfico privilegiado)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33, § 4º: § 4</w:t>
      </w:r>
      <w:r w:rsidRPr="008C75D5">
        <w:rPr>
          <w:rFonts w:ascii="Cambria" w:hAnsi="Cambria" w:cs="Arial"/>
          <w:bCs/>
          <w:u w:val="single"/>
          <w:vertAlign w:val="superscript"/>
        </w:rPr>
        <w:t>o</w:t>
      </w:r>
      <w:r w:rsidRPr="008C75D5">
        <w:rPr>
          <w:rFonts w:ascii="Cambria" w:hAnsi="Cambria" w:cs="Arial"/>
          <w:bCs/>
        </w:rPr>
        <w:t xml:space="preserve"> Nos delitos definidos no caput e no § 1</w:t>
      </w:r>
      <w:r w:rsidRPr="008C75D5">
        <w:rPr>
          <w:rFonts w:ascii="Cambria" w:hAnsi="Cambria" w:cs="Arial"/>
          <w:bCs/>
          <w:u w:val="single"/>
          <w:vertAlign w:val="superscript"/>
        </w:rPr>
        <w:t>o</w:t>
      </w:r>
      <w:r w:rsidRPr="008C75D5">
        <w:rPr>
          <w:rFonts w:ascii="Cambria" w:hAnsi="Cambria" w:cs="Arial"/>
          <w:bCs/>
        </w:rPr>
        <w:t xml:space="preserve"> deste artigo, as penas poderão ser reduzidas de um sexto a dois terços, vedada a conversão em penas restritivas de direitos, desde que o agente seja primário, de bons antecedentes, não se dedique às atividades criminosas nem integre organização criminosa.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Quantidade de drogas descaracteriza?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Hediondo?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HC 118533, julgado em 23.06.2016: o Plenário do Supremo Tribunal Federal (STF), por maioria de votos, entendeu que o chamado tráfico privilegiado não deve ser considerado crime de natureza hedionda.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Principais consequências: não-aplicação do regime inicial fechado obrigatório (art. 2º, § 1º, da Lei dos Crimes Hediondos); progressão de regime em 1/6, não em 2/5 ou 3/5.</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Importante: no HC 111840, julgado em 27.06.2012, o Plenário do Supremo Tribunal Federal concedeu declarou incidentalmente a inconstitucionalidade do parágrafo 1º do artigo 2º da Lei nº. 8.072/90, com redação dada pela Lei 11.464/07, o qual prevê que a pena por crime hediondo (e, portanto, estende-se aos crimes equiparados, como o tráfico de drogas) será cumprida, inicialmente, em regime fechado (violação ao princípio da individualização das penas e do dever de adequada motivação das decisões - artigos 5º, inciso XLVI e 93, inciso IX, da Constituição Federal).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Critérios de fixação de regime (art. 33, §§ 2º e 3º do CP)</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Art. 33 - A pena de reclusão deve ser cumprida em regime fechado, </w:t>
      </w:r>
      <w:proofErr w:type="spellStart"/>
      <w:r w:rsidRPr="008C75D5">
        <w:rPr>
          <w:rFonts w:ascii="Cambria" w:hAnsi="Cambria" w:cs="Arial"/>
          <w:bCs/>
        </w:rPr>
        <w:t>semi-aberto</w:t>
      </w:r>
      <w:proofErr w:type="spellEnd"/>
      <w:r w:rsidRPr="008C75D5">
        <w:rPr>
          <w:rFonts w:ascii="Cambria" w:hAnsi="Cambria" w:cs="Arial"/>
          <w:bCs/>
        </w:rPr>
        <w:t xml:space="preserve"> ou aberto. A de detenção, em regime </w:t>
      </w:r>
      <w:proofErr w:type="spellStart"/>
      <w:r w:rsidRPr="008C75D5">
        <w:rPr>
          <w:rFonts w:ascii="Cambria" w:hAnsi="Cambria" w:cs="Arial"/>
          <w:bCs/>
        </w:rPr>
        <w:t>semi-aberto</w:t>
      </w:r>
      <w:proofErr w:type="spellEnd"/>
      <w:r w:rsidRPr="008C75D5">
        <w:rPr>
          <w:rFonts w:ascii="Cambria" w:hAnsi="Cambria" w:cs="Arial"/>
          <w:bCs/>
        </w:rPr>
        <w:t>, ou aberto, salvo necessidade de transferência a regime fechado.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2º - As penas privativas de liberdade deverão ser executadas em forma progressiva, segundo o mérito do condenado, observados os seguintes critérios e ressalvadas as hipóteses de transferência a regime mais rigoroso: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 o condenado a pena superior a 8 (oito) anos deverá começar a cumpri-la em regime fechado;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b) o condenado não reincidente, cuja pena seja superior a 4 (quatro) anos e não exceda a 8 (oito), poderá, desde o princípio, cumpri-la em regime </w:t>
      </w:r>
      <w:proofErr w:type="spellStart"/>
      <w:r w:rsidRPr="008C75D5">
        <w:rPr>
          <w:rFonts w:ascii="Cambria" w:hAnsi="Cambria" w:cs="Arial"/>
          <w:bCs/>
        </w:rPr>
        <w:t>semi-aberto</w:t>
      </w:r>
      <w:proofErr w:type="spellEnd"/>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 o condenado não reincidente, cuja pena seja igual ou inferior a 4 (quatro) anos, poderá, desde o início, cumpri-la em regime aberto.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3º - A determinação do regime inicial de cumprimento da pena far-se-á com observância dos critérios previstos no art. 59 deste Código.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Súmula nº 719 do STF: a imposição do regime de cumprimento mais severo do que a pena aplicada permitir exige motivação idônea.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Súmula nº 718 do STF: a opinião do julgador sobre a gravidade em abstrato do crime não constitui motivação idônea para a imposição de regime mais severo do que o permitido segundo a pena aplicada.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Súmula nº 440 do STJ: </w:t>
      </w:r>
      <w:r w:rsidRPr="008C75D5">
        <w:rPr>
          <w:rFonts w:ascii="Cambria" w:hAnsi="Cambria" w:cs="Arial"/>
          <w:bCs/>
          <w:lang w:val="pt-PT"/>
        </w:rPr>
        <w:t>fixada a pena-base no mínimo legal, é vedado o estabelecimento de regime prisional mais gravoso do que o cabível em razão da sanção imposta, com base apenas na gravidade abstrata do delito.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Pelas razões expostas, a jurisprudência é unânime ao exigir </w:t>
      </w:r>
      <w:r w:rsidRPr="008C75D5">
        <w:rPr>
          <w:rFonts w:ascii="Cambria" w:hAnsi="Cambria" w:cs="Arial"/>
          <w:bCs/>
          <w:u w:val="single"/>
        </w:rPr>
        <w:t xml:space="preserve">coerência do juízo sentenciante </w:t>
      </w:r>
      <w:r w:rsidRPr="008C75D5">
        <w:rPr>
          <w:rFonts w:ascii="Cambria" w:hAnsi="Cambria" w:cs="Arial"/>
          <w:bCs/>
        </w:rPr>
        <w:t xml:space="preserve">ao estabelecer a </w:t>
      </w:r>
      <w:r w:rsidRPr="008C75D5">
        <w:rPr>
          <w:rFonts w:ascii="Cambria" w:hAnsi="Cambria" w:cs="Arial"/>
          <w:bCs/>
          <w:u w:val="single"/>
        </w:rPr>
        <w:t>pena-base</w:t>
      </w:r>
      <w:r w:rsidRPr="008C75D5">
        <w:rPr>
          <w:rFonts w:ascii="Cambria" w:hAnsi="Cambria" w:cs="Arial"/>
          <w:bCs/>
        </w:rPr>
        <w:t xml:space="preserve"> e ao fixar o </w:t>
      </w:r>
      <w:r w:rsidRPr="008C75D5">
        <w:rPr>
          <w:rFonts w:ascii="Cambria" w:hAnsi="Cambria" w:cs="Arial"/>
          <w:bCs/>
          <w:u w:val="single"/>
        </w:rPr>
        <w:t>regime</w:t>
      </w:r>
      <w:r w:rsidRPr="008C75D5">
        <w:rPr>
          <w:rFonts w:ascii="Cambria" w:hAnsi="Cambria" w:cs="Arial"/>
          <w:bCs/>
        </w:rPr>
        <w:t xml:space="preserve"> de cumprimento de pena, uma </w:t>
      </w:r>
      <w:r w:rsidRPr="008C75D5">
        <w:rPr>
          <w:rFonts w:ascii="Cambria" w:hAnsi="Cambria" w:cs="Arial"/>
          <w:bCs/>
        </w:rPr>
        <w:lastRenderedPageBreak/>
        <w:t xml:space="preserve">vez que ambas as providências têm por </w:t>
      </w:r>
      <w:r w:rsidRPr="008C75D5">
        <w:rPr>
          <w:rFonts w:ascii="Cambria" w:hAnsi="Cambria" w:cs="Arial"/>
          <w:bCs/>
          <w:u w:val="single"/>
        </w:rPr>
        <w:t>fundamento legal</w:t>
      </w:r>
      <w:r w:rsidRPr="008C75D5">
        <w:rPr>
          <w:rFonts w:ascii="Cambria" w:hAnsi="Cambria" w:cs="Arial"/>
          <w:bCs/>
        </w:rPr>
        <w:t xml:space="preserve"> o </w:t>
      </w:r>
      <w:r w:rsidRPr="008C75D5">
        <w:rPr>
          <w:rFonts w:ascii="Cambria" w:hAnsi="Cambria" w:cs="Arial"/>
          <w:bCs/>
          <w:u w:val="single"/>
        </w:rPr>
        <w:t>mesmo artigo 59</w:t>
      </w:r>
      <w:r w:rsidRPr="008C75D5">
        <w:rPr>
          <w:rFonts w:ascii="Cambria" w:hAnsi="Cambria" w:cs="Arial"/>
          <w:bCs/>
        </w:rPr>
        <w:t xml:space="preserve"> do Código Penal.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Substituição de pena.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Possível: resolução nº 5/2012 do Senado Federal suspendeu a execução da expressão “vedada a conversão em penas restritivas de direitos” do art. 33, § 4º, declarada inconstitucional por decisão definitiva do Supremo Tribunal Federal nos autos do Habeas Corpus nº 97.256/RS.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Pena de multa para o tráfico privilegiado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Redução máxima da pena: 166 dias-multa. Fixados no mínimo (com a causa de diminuição), totalizam R$ 4869.33.</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Na medida em que o acusado é reconhecidamente hipossuficiente economicamente, nomeando-se para ele a Defensoria Pública desse Estado, inconcebível a presunção de que em algum momento ele terá capacidade econômica para efetuar o pagamento da multa.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Logo, patente a ofensa ao princípio da isonomia na medida, pois o Legislador, ao fixar a pena mínima de multa em valores tão proibitivos para a maior parcela da sociedade brasileira, ou seja, mais de 5 salários mínimos, tratou de pessoas com condições econômicas diferentes sem atentar para os ditames impostos pelo princípio da igualdade distributiva. Assim, a pena de multa fixada para o delito em questão é de impossível cumprimento por parte de grande parcela da população.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u w:val="single"/>
        </w:rPr>
        <w:t xml:space="preserve">Aliás, é de se indagar: como alguém que acabou de cumprir sanção privativa de liberdade e tem pena de multa pendente poderia efetuar o seu pagamento se, ainda que consiga trabalho lícito, dificilmente receberá como salário valor superior a um quinto da multa cominada?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Nessas condições, parece que a opção do Legislador vai contra o fim último da pena, a reintegração harmônica do sentenciado. Se o sentenciado tem sanção de multa </w:t>
      </w:r>
      <w:r w:rsidRPr="008C75D5">
        <w:rPr>
          <w:rFonts w:ascii="Cambria" w:hAnsi="Cambria" w:cs="Arial"/>
          <w:bCs/>
        </w:rPr>
        <w:lastRenderedPageBreak/>
        <w:t xml:space="preserve">contra si, mas não tem possibilidade de saldá-la, não seria exigir muito dele que permaneça afastado do crime e encontrasse outra fonte de renda para conseguir vultosa quantia em dinheiro para quitar sua obrigação com o ente estatal?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Por outro lado, há ofensa flagrante ao princípio da individualização da pena, que não é em momento algum considerado pelo Legislador ao fixar a </w:t>
      </w:r>
      <w:r w:rsidRPr="008C75D5">
        <w:rPr>
          <w:rFonts w:ascii="Cambria" w:hAnsi="Cambria" w:cs="Arial"/>
          <w:bCs/>
          <w:u w:val="single"/>
        </w:rPr>
        <w:t>pena mínima em quinhentos dias-multa!</w:t>
      </w:r>
      <w:r w:rsidRPr="008C75D5">
        <w:rPr>
          <w:rFonts w:ascii="Cambria" w:hAnsi="Cambria" w:cs="Arial"/>
          <w:bCs/>
        </w:rPr>
        <w:t xml:space="preserve">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Questões importantes: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1) Decretação de prisão preventiva com fundamento na ordem pública (“gravidade do crime” e não potencialidade de reiteração da conduta): automatismo da prisão;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2) Conversa restrita e reservada: ausência de garantia;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3) Inversão da ordem de interrogatório;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4) Alvará de soltura: sem contrafé (ausência de entendimento adequado: descumprimento da medida, ausência em audiência).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5) Absolvição: sem indenização;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6) Drogas encontradas na cela: relações de poder internas;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7) Revista vexatória: inexigibilidade de conduta diversa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Atenuantes inominadas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Quanto à culpabilidade, verifica-se que era de rigor a fixação da pena-base no mínimo legal ou, mesmo, aquém desse mínimo, dada a patente vulnerabilidade da acusada ao sistema punitivo. Traz-se à baila, aqui, a teoria da culpabilidade por vulnerabilidade, desenvolvida pelo Ministro da Suprema Corte Argentina E. R. </w:t>
      </w:r>
      <w:proofErr w:type="spellStart"/>
      <w:r w:rsidRPr="008C75D5">
        <w:rPr>
          <w:rFonts w:ascii="Cambria" w:hAnsi="Cambria" w:cs="Arial"/>
          <w:bCs/>
        </w:rPr>
        <w:t>Zaffaroni</w:t>
      </w:r>
      <w:proofErr w:type="spellEnd"/>
      <w:r w:rsidRPr="008C75D5">
        <w:rPr>
          <w:rFonts w:ascii="Cambria" w:hAnsi="Cambria" w:cs="Arial"/>
          <w:bCs/>
        </w:rPr>
        <w:t xml:space="preserve">. Ora, uma vez que é público e notório o fato de que </w:t>
      </w:r>
      <w:r w:rsidRPr="008C75D5">
        <w:rPr>
          <w:rFonts w:ascii="Cambria" w:hAnsi="Cambria" w:cs="Arial"/>
          <w:bCs/>
          <w:u w:val="single"/>
        </w:rPr>
        <w:t xml:space="preserve">as pessoas socialmente vulneráveis são mais propensas </w:t>
      </w:r>
      <w:r w:rsidRPr="008C75D5">
        <w:rPr>
          <w:rFonts w:ascii="Cambria" w:hAnsi="Cambria" w:cs="Arial"/>
          <w:bCs/>
          <w:u w:val="single"/>
        </w:rPr>
        <w:lastRenderedPageBreak/>
        <w:t>à repressão penal, deve-se entender a culpabilidade como um dado conectado à realidade social</w:t>
      </w:r>
      <w:r w:rsidRPr="008C75D5">
        <w:rPr>
          <w:rFonts w:ascii="Cambria" w:hAnsi="Cambria" w:cs="Arial"/>
          <w:bCs/>
        </w:rPr>
        <w:t xml:space="preserve">, e não em vista do inexistente homem médio. Assim, será mais culpável aquele proveniente de um segmento social poderoso que tenha sido criminalizado. O socialmente vulnerável, de outra partida, não pode ser repreendido com a mesma gravidade, uma vez que, </w:t>
      </w:r>
      <w:r w:rsidRPr="008C75D5">
        <w:rPr>
          <w:rFonts w:ascii="Cambria" w:hAnsi="Cambria" w:cs="Arial"/>
          <w:bCs/>
          <w:u w:val="single"/>
        </w:rPr>
        <w:t>por sua colocação social, está mais suscetível às investidas da repressão penal, enquadrando-se no estereótipo do cliente preferencial do sistema repressor</w:t>
      </w: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Esclarecendo a necessidade de adoção da culpabilidade por vulnerabilidade, confira-se: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i/>
          <w:iCs/>
        </w:rPr>
        <w:t>“O reconhecimento dos diversos níveis de vulnerabilidade busca estabelecer um direito penal menos desigual, na medida em que se pode dar contornos dogmáticos eficazes à redução de uma falha estrutural do sistema repressivo, tentando estabelecer padrões de aplicação da lei com a maior possibilidade de isonomia e ética. Segundo a teoria, a vulnerabilidade concreta se opera por uma associação entre o estado de vulnerabilidade e o esforço pessoal pela vulnerabilidade. Precisamente, é o esforço pessoal que deve ser considerado para efeito de regrar a culpabilidade</w:t>
      </w:r>
      <w:hyperlink r:id="rId9" w:history="1">
        <w:r w:rsidRPr="008C75D5">
          <w:rPr>
            <w:rStyle w:val="Hyperlink"/>
            <w:rFonts w:ascii="Cambria" w:hAnsi="Cambria" w:cs="Arial"/>
            <w:bCs/>
            <w:i/>
            <w:iCs/>
          </w:rPr>
          <w:t>.</w:t>
        </w:r>
      </w:hyperlink>
      <w:r w:rsidRPr="008C75D5">
        <w:rPr>
          <w:rFonts w:ascii="Cambria" w:hAnsi="Cambria" w:cs="Arial"/>
          <w:bCs/>
          <w:i/>
          <w:iCs/>
        </w:rPr>
        <w:t xml:space="preserve"> A exemplificar, basta perceber que o esforço pessoal de uma pessoa poderosa para ser criminalizada é absurdamente maior se comparado ao esforço de um desprovido de recursos. Em outras palavras, os desprovidos de poder sempre estão mais suscetíveis a serem alcançados pelo poder punitivo” (LEMOS, Clécio José </w:t>
      </w:r>
      <w:proofErr w:type="spellStart"/>
      <w:r w:rsidRPr="008C75D5">
        <w:rPr>
          <w:rFonts w:ascii="Cambria" w:hAnsi="Cambria" w:cs="Arial"/>
          <w:bCs/>
          <w:i/>
          <w:iCs/>
        </w:rPr>
        <w:t>Morandi</w:t>
      </w:r>
      <w:proofErr w:type="spellEnd"/>
      <w:r w:rsidRPr="008C75D5">
        <w:rPr>
          <w:rFonts w:ascii="Cambria" w:hAnsi="Cambria" w:cs="Arial"/>
          <w:bCs/>
          <w:i/>
          <w:iCs/>
        </w:rPr>
        <w:t xml:space="preserve"> de Assis. </w:t>
      </w:r>
      <w:r w:rsidRPr="008C75D5">
        <w:rPr>
          <w:rFonts w:ascii="Cambria" w:hAnsi="Cambria" w:cs="Arial"/>
          <w:bCs/>
        </w:rPr>
        <w:t>Culpabilidade por vulnerabilidade.</w:t>
      </w:r>
      <w:r w:rsidRPr="008C75D5">
        <w:rPr>
          <w:rFonts w:ascii="Cambria" w:hAnsi="Cambria" w:cs="Arial"/>
          <w:bCs/>
          <w:i/>
          <w:iCs/>
        </w:rPr>
        <w:t xml:space="preserve"> In Boletim IBCCRIM. São Paulo: IBCCRIM, ano 17, n. 210, p. 16-17, mai., 2010).</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No mesmo sentido, cabe trazer à baila o conceito de “</w:t>
      </w:r>
      <w:proofErr w:type="spellStart"/>
      <w:r w:rsidRPr="008C75D5">
        <w:rPr>
          <w:rFonts w:ascii="Cambria" w:hAnsi="Cambria" w:cs="Arial"/>
          <w:bCs/>
        </w:rPr>
        <w:t>co-culpabilidade</w:t>
      </w:r>
      <w:proofErr w:type="spellEnd"/>
      <w:r w:rsidRPr="008C75D5">
        <w:rPr>
          <w:rFonts w:ascii="Cambria" w:hAnsi="Cambria" w:cs="Arial"/>
          <w:bCs/>
        </w:rPr>
        <w:t>”, que exige uma valoração mais benéfica da culpabilidade quando as condições sociais do agente tenham figurado como um dos fatores de criminalização. Assim, a sociedade excludente deve assumir parte da culpabilidade do agente, que não pode arcar com toda a responsabilidade por seu ato quando é cediço que a criminalidade de massa é não apenas um problema penal, mas também, um problema social.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Sobre o princípio da </w:t>
      </w:r>
      <w:proofErr w:type="spellStart"/>
      <w:r w:rsidRPr="008C75D5">
        <w:rPr>
          <w:rFonts w:ascii="Cambria" w:hAnsi="Cambria" w:cs="Arial"/>
          <w:bCs/>
        </w:rPr>
        <w:t>co-culpabilidade</w:t>
      </w:r>
      <w:proofErr w:type="spellEnd"/>
      <w:r w:rsidRPr="008C75D5">
        <w:rPr>
          <w:rFonts w:ascii="Cambria" w:hAnsi="Cambria" w:cs="Arial"/>
          <w:bCs/>
        </w:rPr>
        <w:t>, confira-se: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i/>
          <w:iCs/>
        </w:rPr>
        <w:t xml:space="preserve">“O chamado ‘Princípio da </w:t>
      </w:r>
      <w:proofErr w:type="spellStart"/>
      <w:r w:rsidRPr="008C75D5">
        <w:rPr>
          <w:rFonts w:ascii="Cambria" w:hAnsi="Cambria" w:cs="Arial"/>
          <w:bCs/>
          <w:i/>
          <w:iCs/>
        </w:rPr>
        <w:t>Co-Culpabilidade</w:t>
      </w:r>
      <w:proofErr w:type="spellEnd"/>
      <w:r w:rsidRPr="008C75D5">
        <w:rPr>
          <w:rFonts w:ascii="Cambria" w:hAnsi="Cambria" w:cs="Arial"/>
          <w:bCs/>
          <w:i/>
          <w:iCs/>
        </w:rPr>
        <w:t xml:space="preserve">’ aponta para a necessidade de avaliar nos casos concretos o grau de liberdade com que o agente contava ao enveredar na </w:t>
      </w:r>
      <w:r w:rsidRPr="008C75D5">
        <w:rPr>
          <w:rFonts w:ascii="Cambria" w:hAnsi="Cambria" w:cs="Arial"/>
          <w:bCs/>
          <w:i/>
          <w:iCs/>
        </w:rPr>
        <w:lastRenderedPageBreak/>
        <w:t xml:space="preserve">senda criminosa. </w:t>
      </w:r>
      <w:r w:rsidRPr="008C75D5">
        <w:rPr>
          <w:rFonts w:ascii="Cambria" w:hAnsi="Cambria" w:cs="Arial"/>
          <w:bCs/>
          <w:i/>
          <w:iCs/>
          <w:u w:val="single"/>
        </w:rPr>
        <w:t xml:space="preserve">Quando o espaço decisório do agente encontrar-se muito limitado pelas suas condições </w:t>
      </w:r>
      <w:proofErr w:type="spellStart"/>
      <w:r w:rsidRPr="008C75D5">
        <w:rPr>
          <w:rFonts w:ascii="Cambria" w:hAnsi="Cambria" w:cs="Arial"/>
          <w:bCs/>
          <w:i/>
          <w:iCs/>
          <w:u w:val="single"/>
        </w:rPr>
        <w:t>sócio-econômicas</w:t>
      </w:r>
      <w:proofErr w:type="spellEnd"/>
      <w:r w:rsidRPr="008C75D5">
        <w:rPr>
          <w:rFonts w:ascii="Cambria" w:hAnsi="Cambria" w:cs="Arial"/>
          <w:bCs/>
          <w:i/>
          <w:iCs/>
        </w:rPr>
        <w:t xml:space="preserve">, impõe-se um reconhecimento pela sociedade e pelo Estado de certo grau variável de </w:t>
      </w:r>
      <w:proofErr w:type="spellStart"/>
      <w:r w:rsidRPr="008C75D5">
        <w:rPr>
          <w:rFonts w:ascii="Cambria" w:hAnsi="Cambria" w:cs="Arial"/>
          <w:bCs/>
          <w:i/>
          <w:iCs/>
        </w:rPr>
        <w:t>co-responsabilidade</w:t>
      </w:r>
      <w:proofErr w:type="spellEnd"/>
      <w:r w:rsidRPr="008C75D5">
        <w:rPr>
          <w:rFonts w:ascii="Cambria" w:hAnsi="Cambria" w:cs="Arial"/>
          <w:bCs/>
          <w:i/>
          <w:iCs/>
        </w:rPr>
        <w:t xml:space="preserve"> pela conduta delituosa a que em parte foi o autor impelido por tais condições adversas. A grande </w:t>
      </w:r>
      <w:proofErr w:type="spellStart"/>
      <w:r w:rsidRPr="008C75D5">
        <w:rPr>
          <w:rFonts w:ascii="Cambria" w:hAnsi="Cambria" w:cs="Arial"/>
          <w:bCs/>
          <w:i/>
          <w:iCs/>
        </w:rPr>
        <w:t>conseqüência</w:t>
      </w:r>
      <w:proofErr w:type="spellEnd"/>
      <w:r w:rsidRPr="008C75D5">
        <w:rPr>
          <w:rFonts w:ascii="Cambria" w:hAnsi="Cambria" w:cs="Arial"/>
          <w:bCs/>
          <w:i/>
          <w:iCs/>
        </w:rPr>
        <w:t xml:space="preserve"> é que a reação penal nesses casos deve ser abrandada, senão até mesmo afastada, dependendo, como antes destacado, do grau maior ou menor de condicionamento provocado pelo status </w:t>
      </w:r>
      <w:proofErr w:type="spellStart"/>
      <w:r w:rsidRPr="008C75D5">
        <w:rPr>
          <w:rFonts w:ascii="Cambria" w:hAnsi="Cambria" w:cs="Arial"/>
          <w:bCs/>
          <w:i/>
          <w:iCs/>
        </w:rPr>
        <w:t>sócio-econômico</w:t>
      </w:r>
      <w:proofErr w:type="spellEnd"/>
      <w:r w:rsidRPr="008C75D5">
        <w:rPr>
          <w:rFonts w:ascii="Cambria" w:hAnsi="Cambria" w:cs="Arial"/>
          <w:bCs/>
          <w:i/>
          <w:iCs/>
        </w:rPr>
        <w:t xml:space="preserve"> do agente” (CABETTE, Eduardo Luiz Santos. </w:t>
      </w:r>
      <w:r w:rsidRPr="008C75D5">
        <w:rPr>
          <w:rFonts w:ascii="Cambria" w:hAnsi="Cambria" w:cs="Arial"/>
          <w:bCs/>
        </w:rPr>
        <w:t xml:space="preserve">Sociedade, desenvolvimento e liberdade: conectando o pensamento econômico de Amartya Sem com o princípio jurídico-penal da </w:t>
      </w:r>
      <w:proofErr w:type="spellStart"/>
      <w:r w:rsidRPr="008C75D5">
        <w:rPr>
          <w:rFonts w:ascii="Cambria" w:hAnsi="Cambria" w:cs="Arial"/>
          <w:bCs/>
        </w:rPr>
        <w:t>co-culpabilidade</w:t>
      </w:r>
      <w:proofErr w:type="spellEnd"/>
      <w:r w:rsidRPr="008C75D5">
        <w:rPr>
          <w:rFonts w:ascii="Cambria" w:hAnsi="Cambria" w:cs="Arial"/>
          <w:bCs/>
        </w:rPr>
        <w:t>.</w:t>
      </w:r>
      <w:r w:rsidRPr="008C75D5">
        <w:rPr>
          <w:rFonts w:ascii="Cambria" w:hAnsi="Cambria" w:cs="Arial"/>
          <w:bCs/>
          <w:i/>
          <w:iCs/>
        </w:rPr>
        <w:t xml:space="preserve"> Boletim IBCCRIM, São Paulo, ano 15, n. 184, p.9-10, mar. 2008).</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Assim, tanto o estado de vulnerabilidade social do agente quanto a </w:t>
      </w:r>
      <w:proofErr w:type="spellStart"/>
      <w:r w:rsidRPr="008C75D5">
        <w:rPr>
          <w:rFonts w:ascii="Cambria" w:hAnsi="Cambria" w:cs="Arial"/>
          <w:bCs/>
        </w:rPr>
        <w:t>co-culpabilidade</w:t>
      </w:r>
      <w:proofErr w:type="spellEnd"/>
      <w:r w:rsidRPr="008C75D5">
        <w:rPr>
          <w:rFonts w:ascii="Cambria" w:hAnsi="Cambria" w:cs="Arial"/>
          <w:bCs/>
        </w:rPr>
        <w:t xml:space="preserve"> devem ser consideradas, nos termos do artigo 59 do CP, para que eventual pena seja reduzida ao mínimo legal ou, mesmo, aquém do mínimo cominado. No mais, tais fatores claramente constituem circunstâncias legais atenuantes inominadas, nos termos do artigo 66 do CP, que possibilita a redução da pena “</w:t>
      </w:r>
      <w:r w:rsidRPr="008C75D5">
        <w:rPr>
          <w:rFonts w:ascii="Cambria" w:hAnsi="Cambria" w:cs="Arial"/>
          <w:bCs/>
          <w:i/>
          <w:iCs/>
        </w:rPr>
        <w:t>em razão de circunstância relevante, anterior ou posterior ao crime, embora não prevista expressamente em lei</w:t>
      </w:r>
      <w:r w:rsidRPr="008C75D5">
        <w:rPr>
          <w:rFonts w:ascii="Cambria" w:hAnsi="Cambria" w:cs="Arial"/>
          <w:bCs/>
        </w:rPr>
        <w:t>”.</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FIANÇA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Tese institucional da DPE/SP:</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Condições de admissibilidade da prisão preventiva.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313. Nos termos do art. 312 deste Código, será admitida a decretação da prisão preventiva: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 - nos crimes dolosos punidos com pena privativa de liberdade máxima superior a 4 (quatro) anos;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II - se tiver sido condenado por outro crime doloso, em sentença transitada em julgado, ressalvado o disposto no inciso I do caput do art. 64 do Decreto-Lei n</w:t>
      </w:r>
      <w:r w:rsidRPr="008C75D5">
        <w:rPr>
          <w:rFonts w:ascii="Cambria" w:hAnsi="Cambria" w:cs="Arial"/>
          <w:bCs/>
          <w:u w:val="single"/>
          <w:vertAlign w:val="superscript"/>
        </w:rPr>
        <w:t xml:space="preserve">o </w:t>
      </w:r>
      <w:r w:rsidRPr="008C75D5">
        <w:rPr>
          <w:rFonts w:ascii="Cambria" w:hAnsi="Cambria" w:cs="Arial"/>
          <w:bCs/>
        </w:rPr>
        <w:t>2.848, de 7 de dezembro de 1940 - Código Penal;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III - se o crime envolver violência doméstica e familiar contra a mulher, criança, adolescente, idoso, enfermo ou pessoa com deficiência, para garantir a execução das medidas protetivas de urgência;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310. Ao receber o auto de prisão em flagrante, o juiz deverá fundamentadamente: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 - relaxar a prisão ilegal; ou</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II - converter a prisão em flagrante em preventiva, quando presentes os requisitos constantes do art. 312 deste Código, e se revelarem inadequadas ou insuficientes as medidas cautelares diversas da prisão; ou</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Decisão com natureza de prisão preventiva: título jurídico para prisão – expedição de mandado de prisão;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Decisão com natureza de liberdade provisória: ausência de título jurídico para prisão – expedição de alvará de soltura.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Lógicas da cautelares diversas: soltura e aguarda cumprimento/descumprimento;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Lei de abuso de autoridade (Lei 4.898/65):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3º. Constitui abuso de autoridade qualquer atentado: a) à liberdade de locomoção;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4º Constitui também abuso de autoridade: a) ordenar ou executar medida privativa da liberdade individual, sem as formalidades legais ou com abuso de poder.</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Violação da igualdade (amparo familiar);</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Violação da </w:t>
      </w:r>
      <w:proofErr w:type="spellStart"/>
      <w:r w:rsidRPr="008C75D5">
        <w:rPr>
          <w:rFonts w:ascii="Cambria" w:hAnsi="Cambria" w:cs="Arial"/>
          <w:bCs/>
        </w:rPr>
        <w:t>intranscêndencia</w:t>
      </w:r>
      <w:proofErr w:type="spellEnd"/>
      <w:r w:rsidRPr="008C75D5">
        <w:rPr>
          <w:rFonts w:ascii="Cambria" w:hAnsi="Cambria" w:cs="Arial"/>
          <w:bCs/>
        </w:rPr>
        <w:t xml:space="preserve"> (penalização de terceiros);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 xml:space="preserve">Declaração de pobreza: </w:t>
      </w:r>
      <w:proofErr w:type="spellStart"/>
      <w:r w:rsidRPr="008C75D5">
        <w:rPr>
          <w:rFonts w:ascii="Cambria" w:hAnsi="Cambria" w:cs="Arial"/>
          <w:bCs/>
        </w:rPr>
        <w:t>autodeclaração</w:t>
      </w:r>
      <w:proofErr w:type="spellEnd"/>
      <w:r w:rsidRPr="008C75D5">
        <w:rPr>
          <w:rFonts w:ascii="Cambria" w:hAnsi="Cambria" w:cs="Arial"/>
          <w:bCs/>
        </w:rPr>
        <w:t xml:space="preserve"> (presunção: assistido pela Defensoria Pública).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Crítica: manutenção da prisão em boa parte dos casos.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ROUBO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Reconhecimento: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226. Quando houver necessidade de fazer-se o reconhecimento de pessoa, proceder-se-á pela seguinte forma: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 - a pessoa que tiver de fazer o reconhecimento será convidada a descrever a pessoa que deva ser reconhecida;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Il - a pessoa, cujo reconhecimento se pretender, será colocada, se possível, ao lado de outras que com ela tiverem qualquer semelhança, convidando-se quem tiver de fazer o reconhecimento a apontá-la;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III - se houver razão para recear que a pessoa chamada para o reconhecimento, por efeito de intimidação ou outra influência, não diga a verdade em face da pessoa que deve ser reconhecida, a autoridade providenciará para que esta não veja aquela;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IV - do ato de reconhecimento lavrar-se-á auto pormenorizado, subscrito pela autoridade, pela pessoa chamada para proceder ao reconhecimento e por duas testemunhas presenciais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Tentativa: teoria da </w:t>
      </w:r>
      <w:proofErr w:type="spellStart"/>
      <w:r w:rsidRPr="008C75D5">
        <w:rPr>
          <w:rFonts w:ascii="Cambria" w:hAnsi="Cambria" w:cs="Arial"/>
          <w:bCs/>
          <w:i/>
          <w:iCs/>
        </w:rPr>
        <w:t>amotio</w:t>
      </w:r>
      <w:proofErr w:type="spellEnd"/>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Emprego de arma: ausência de laudo (inversão do ônus da prova)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Prisão preventiva praticamente decretada de forma automática (gravidade em abstrato) e regime fechado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 xml:space="preserve">Súmula 443 do STJ: o aumento na terceira fase de aplicação da pena no crime de roubo circunstanciado exige fundamentação concreta, não sendo suficiente para a sua exasperação a mera indicação do número de </w:t>
      </w:r>
      <w:proofErr w:type="spellStart"/>
      <w:r w:rsidRPr="008C75D5">
        <w:rPr>
          <w:rFonts w:ascii="Cambria" w:hAnsi="Cambria" w:cs="Arial"/>
          <w:bCs/>
        </w:rPr>
        <w:t>majorantes</w:t>
      </w:r>
      <w:proofErr w:type="spellEnd"/>
      <w:r w:rsidRPr="008C75D5">
        <w:rPr>
          <w:rFonts w:ascii="Cambria" w:hAnsi="Cambria" w:cs="Arial"/>
          <w:bCs/>
        </w:rPr>
        <w:t>. (não aplicada)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RECURSO ESPECIAL. PENAL. ROUBO QUALIFCADO. RECONHECIMENTO DE DUAS QUALIFCADORAS. AUSÊNCIA DE CIRCUNSTÂNCIAS CONCRETAS QUE INDIQUEM A NECESSIDADE DE EXASPERAÇÃO ACIMA DE 1/3. PENA AQUÉM DO MÍNIMO LEGAL. ATENUANTES. IMPOSIBLIDADE. SÚMULA Nº 231 DO STJ. RECURSO PARCIALMENTE, CONHECIDO E, NESSA EXTENSÃO, PROVIDO.</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 xml:space="preserve">1. Nos termos da reiterada jurisprudência desta Corte, a presença de duas qualificadoras no crime de roubo (concurso de agentes emprego de arma de fogo) pode agravar pena em até metade, quando magistrado, diante das peculiaridades do caso concreto, constatar a ocorrência de circunstâncias que indiquem a necessidade da elevação da pena acima do mínimo legal. </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 xml:space="preserve">2. Assim, não fica o Juízo sentenciante adstrito, simplesmente, à quantidade de qualificadoras para fixar fração de aumento, pois, na hipótese de existência de apenas uma qualificadora, havendo nos autos elementos que conduzem à exasperação da reprimenda – tais como a </w:t>
      </w:r>
      <w:r w:rsidRPr="008C75D5">
        <w:rPr>
          <w:rFonts w:ascii="Cambria" w:hAnsi="Cambria" w:cs="Arial"/>
          <w:bCs/>
          <w:i/>
          <w:u w:val="single"/>
        </w:rPr>
        <w:t>quantidade excessiva de agentes no concurso de pessoas</w:t>
      </w:r>
      <w:r w:rsidRPr="008C75D5">
        <w:rPr>
          <w:rFonts w:ascii="Cambria" w:hAnsi="Cambria" w:cs="Arial"/>
          <w:bCs/>
          <w:i/>
        </w:rPr>
        <w:t xml:space="preserve"> (CP, art. 157, §2º, I) ou </w:t>
      </w:r>
      <w:r w:rsidRPr="008C75D5">
        <w:rPr>
          <w:rFonts w:ascii="Cambria" w:hAnsi="Cambria" w:cs="Arial"/>
          <w:bCs/>
          <w:i/>
          <w:u w:val="single"/>
        </w:rPr>
        <w:t>grosso calibre da arma de fogo utilizada na empreitada criminosa</w:t>
      </w:r>
      <w:r w:rsidRPr="008C75D5">
        <w:rPr>
          <w:rFonts w:ascii="Cambria" w:hAnsi="Cambria" w:cs="Arial"/>
          <w:bCs/>
          <w:i/>
        </w:rPr>
        <w:t xml:space="preserve"> (CP, art. 157, §2º, I) –, a fração pode e deve ser elevada, acima de 1/3, contanto que devidamente justificada na sentença, em observância ao art. 68 do CP. O mesmo raciocínio serve para uma situação inversa, em que o roubo foi praticado com arma branca (faca ou canivete) e a participação do </w:t>
      </w:r>
      <w:proofErr w:type="spellStart"/>
      <w:r w:rsidRPr="008C75D5">
        <w:rPr>
          <w:rFonts w:ascii="Cambria" w:hAnsi="Cambria" w:cs="Arial"/>
          <w:bCs/>
          <w:i/>
        </w:rPr>
        <w:t>co-réu</w:t>
      </w:r>
      <w:proofErr w:type="spellEnd"/>
      <w:r w:rsidRPr="008C75D5">
        <w:rPr>
          <w:rFonts w:ascii="Cambria" w:hAnsi="Cambria" w:cs="Arial"/>
          <w:bCs/>
          <w:i/>
        </w:rPr>
        <w:t xml:space="preserve"> foi de menor importância, hipótese em que pode o magistrado aplicar a fração mínima, apesar da dupla qualificação.</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 xml:space="preserve">3. </w:t>
      </w:r>
      <w:r w:rsidRPr="008C75D5">
        <w:rPr>
          <w:rFonts w:ascii="Cambria" w:hAnsi="Cambria" w:cs="Arial"/>
          <w:bCs/>
          <w:i/>
          <w:iCs/>
        </w:rPr>
        <w:t xml:space="preserve">In </w:t>
      </w:r>
      <w:proofErr w:type="spellStart"/>
      <w:r w:rsidRPr="008C75D5">
        <w:rPr>
          <w:rFonts w:ascii="Cambria" w:hAnsi="Cambria" w:cs="Arial"/>
          <w:bCs/>
          <w:i/>
          <w:iCs/>
        </w:rPr>
        <w:t>casu</w:t>
      </w:r>
      <w:proofErr w:type="spellEnd"/>
      <w:r w:rsidRPr="008C75D5">
        <w:rPr>
          <w:rFonts w:ascii="Cambria" w:hAnsi="Cambria" w:cs="Arial"/>
          <w:bCs/>
          <w:i/>
        </w:rPr>
        <w:t xml:space="preserve">, não há nos autos elementos que comprovem maior reprovabilidade do réu, aptos a elevar a reprimenda acima do percentual mínimo previsto na lei, pelo que deve ser mantida a fração de1/3 (um terço) fixada pelas instâncias ordinárias. </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 xml:space="preserve">4. "A incidência de circunstância atenuante não pode conduzir à redução da pena abaixo do mínimo legal" (Súmula n.º231/STJ). </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lastRenderedPageBreak/>
        <w:t>5. Recurso parcialmente conhecido e, nessa extensão, provido para redimensionar a pena imposta ao réu em 5 (cinco) anos e 4 (quatro) meses de reclusão.</w:t>
      </w: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Recurso Especial n° 738.166-RS, Rel. Min. Arnaldo Esteves Lima, julgado em 26/06/2007.</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Aumento de pena: circunstância irrelevante.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Para aumentar a pena-base em montante superior a 1/6, a magistrada se valeu de circunstância absolutamente irrelevante pois fora do âmbito de proteção da norma.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E mais.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Na esteira do Direito Penal do Autor e não do Fato, proferiu decisão pautada em considerações preconceituosas e discriminatórias.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Disse: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eastAsia="MS PGothic" w:hAnsi="Cambria" w:cs="Arial"/>
          <w:bCs/>
          <w:color w:val="000000" w:themeColor="text1"/>
          <w:kern w:val="24"/>
        </w:rPr>
      </w:pPr>
      <w:r w:rsidRPr="008C75D5">
        <w:rPr>
          <w:rFonts w:ascii="Cambria" w:hAnsi="Cambria" w:cs="Arial"/>
          <w:bCs/>
        </w:rPr>
        <w:t>“</w:t>
      </w:r>
      <w:r w:rsidRPr="008C75D5">
        <w:rPr>
          <w:rFonts w:ascii="Cambria" w:hAnsi="Cambria" w:cs="Arial"/>
          <w:bCs/>
          <w:i/>
          <w:iCs/>
        </w:rPr>
        <w:t>Atendendo às circunstâncias judiciais, principalmente a condição de morador de rua há um ano, tendo uma conduta de desestrutura familiar e sem perspectiva de emprego, fixo a pena-base em 6 anos de reclusão e 600 dias-multa, no valor unitário mínimo legal</w:t>
      </w:r>
      <w:r w:rsidRPr="008C75D5">
        <w:rPr>
          <w:rFonts w:ascii="Cambria" w:hAnsi="Cambria" w:cs="Arial"/>
          <w:bCs/>
        </w:rPr>
        <w:t>.”</w:t>
      </w:r>
      <w:r w:rsidRPr="008C75D5">
        <w:rPr>
          <w:rFonts w:ascii="Cambria" w:eastAsia="MS PGothic" w:hAnsi="Cambria" w:cs="Arial"/>
          <w:bCs/>
          <w:color w:val="000000" w:themeColor="text1"/>
          <w:kern w:val="24"/>
        </w:rPr>
        <w:t xml:space="preserve">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A crítica que ora se faz a esse trecho da sentença encontra eco em teóricos importantes que trabalham o tema da Justiça, como Nancy Fraser, titular da cátedra </w:t>
      </w:r>
      <w:r w:rsidRPr="008C75D5">
        <w:rPr>
          <w:rFonts w:ascii="Cambria" w:hAnsi="Cambria" w:cs="Arial"/>
          <w:bCs/>
          <w:i/>
          <w:iCs/>
        </w:rPr>
        <w:t xml:space="preserve">Henry A. </w:t>
      </w:r>
      <w:proofErr w:type="spellStart"/>
      <w:r w:rsidRPr="008C75D5">
        <w:rPr>
          <w:rFonts w:ascii="Cambria" w:hAnsi="Cambria" w:cs="Arial"/>
          <w:bCs/>
          <w:i/>
          <w:iCs/>
        </w:rPr>
        <w:t>and</w:t>
      </w:r>
      <w:proofErr w:type="spellEnd"/>
      <w:r w:rsidRPr="008C75D5">
        <w:rPr>
          <w:rFonts w:ascii="Cambria" w:hAnsi="Cambria" w:cs="Arial"/>
          <w:bCs/>
          <w:i/>
          <w:iCs/>
        </w:rPr>
        <w:t xml:space="preserve"> Louise </w:t>
      </w:r>
      <w:proofErr w:type="spellStart"/>
      <w:r w:rsidRPr="008C75D5">
        <w:rPr>
          <w:rFonts w:ascii="Cambria" w:hAnsi="Cambria" w:cs="Arial"/>
          <w:bCs/>
          <w:i/>
          <w:iCs/>
        </w:rPr>
        <w:t>Loeb</w:t>
      </w:r>
      <w:proofErr w:type="spellEnd"/>
      <w:r w:rsidRPr="008C75D5">
        <w:rPr>
          <w:rFonts w:ascii="Cambria" w:hAnsi="Cambria" w:cs="Arial"/>
          <w:bCs/>
        </w:rPr>
        <w:t xml:space="preserve"> de Ciências Políticas e Sociais da </w:t>
      </w:r>
      <w:r w:rsidRPr="008C75D5">
        <w:rPr>
          <w:rFonts w:ascii="Cambria" w:hAnsi="Cambria" w:cs="Arial"/>
          <w:bCs/>
          <w:i/>
          <w:iCs/>
        </w:rPr>
        <w:t xml:space="preserve">New </w:t>
      </w:r>
      <w:proofErr w:type="spellStart"/>
      <w:r w:rsidRPr="008C75D5">
        <w:rPr>
          <w:rFonts w:ascii="Cambria" w:hAnsi="Cambria" w:cs="Arial"/>
          <w:bCs/>
          <w:i/>
          <w:iCs/>
        </w:rPr>
        <w:t>School</w:t>
      </w:r>
      <w:proofErr w:type="spellEnd"/>
      <w:r w:rsidR="00634A71">
        <w:rPr>
          <w:rStyle w:val="Hyperlink"/>
          <w:rFonts w:ascii="Cambria" w:hAnsi="Cambria" w:cs="Arial"/>
          <w:bCs/>
          <w:i/>
          <w:iCs/>
        </w:rPr>
        <w:fldChar w:fldCharType="begin"/>
      </w:r>
      <w:r w:rsidR="00634A71">
        <w:rPr>
          <w:rStyle w:val="Hyperlink"/>
          <w:rFonts w:ascii="Cambria" w:hAnsi="Cambria" w:cs="Arial"/>
          <w:bCs/>
          <w:i/>
          <w:iCs/>
        </w:rPr>
        <w:instrText xml:space="preserve"> HYPERLINK "https://pt.wikipedia.org/wiki/New_School_University" </w:instrText>
      </w:r>
      <w:r w:rsidR="00634A71">
        <w:rPr>
          <w:rStyle w:val="Hyperlink"/>
          <w:rFonts w:ascii="Cambria" w:hAnsi="Cambria" w:cs="Arial"/>
          <w:bCs/>
          <w:i/>
          <w:iCs/>
        </w:rPr>
        <w:fldChar w:fldCharType="separate"/>
      </w:r>
      <w:r w:rsidRPr="008C75D5">
        <w:rPr>
          <w:rStyle w:val="Hyperlink"/>
          <w:rFonts w:ascii="Cambria" w:hAnsi="Cambria" w:cs="Arial"/>
          <w:bCs/>
          <w:i/>
          <w:iCs/>
        </w:rPr>
        <w:t xml:space="preserve"> </w:t>
      </w:r>
      <w:r w:rsidR="00634A71">
        <w:rPr>
          <w:rStyle w:val="Hyperlink"/>
          <w:rFonts w:ascii="Cambria" w:hAnsi="Cambria" w:cs="Arial"/>
          <w:bCs/>
          <w:i/>
          <w:iCs/>
        </w:rPr>
        <w:fldChar w:fldCharType="end"/>
      </w:r>
      <w:proofErr w:type="spellStart"/>
      <w:r w:rsidRPr="008C75D5">
        <w:rPr>
          <w:rFonts w:ascii="Cambria" w:hAnsi="Cambria" w:cs="Arial"/>
          <w:bCs/>
          <w:i/>
          <w:iCs/>
        </w:rPr>
        <w:t>University</w:t>
      </w:r>
      <w:proofErr w:type="spellEnd"/>
      <w:r w:rsidRPr="008C75D5">
        <w:rPr>
          <w:rFonts w:ascii="Cambria" w:hAnsi="Cambria" w:cs="Arial"/>
          <w:bCs/>
        </w:rPr>
        <w:t>, em Nova Iorque: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rPr>
        <w:t>“</w:t>
      </w:r>
      <w:r w:rsidRPr="008C75D5">
        <w:rPr>
          <w:rFonts w:ascii="Cambria" w:hAnsi="Cambria" w:cs="Arial"/>
          <w:bCs/>
          <w:i/>
        </w:rPr>
        <w:t xml:space="preserve">Como já foi dito, o centro normativo da minha concepção (de justiça) é a noção de paridade de participação. De acordo com essa norma, a justiça requer arranjos sociais que permitam a todos os membros (adultos) da sociedade interagir uns com os outros como parceiros. Para que a paridade de participação seja possível, eu afirmo que, pelo menos, duas condições devem ser satisfeitas. Primeiro, a distribuição dos recursos materiais deve dar-se de modo que assegure a independência e voz dos participantes. Essa eu denomino a </w:t>
      </w:r>
      <w:r w:rsidRPr="008C75D5">
        <w:rPr>
          <w:rFonts w:ascii="Cambria" w:hAnsi="Cambria" w:cs="Arial"/>
          <w:bCs/>
          <w:i/>
          <w:iCs/>
        </w:rPr>
        <w:t>condição objetiva</w:t>
      </w:r>
      <w:r w:rsidRPr="008C75D5">
        <w:rPr>
          <w:rFonts w:ascii="Cambria" w:hAnsi="Cambria" w:cs="Arial"/>
          <w:bCs/>
          <w:i/>
        </w:rPr>
        <w:t xml:space="preserve"> da paridade participativa. Ela exclui formas e níveis de desigualdade material e </w:t>
      </w:r>
      <w:r w:rsidRPr="008C75D5">
        <w:rPr>
          <w:rFonts w:ascii="Cambria" w:hAnsi="Cambria" w:cs="Arial"/>
          <w:bCs/>
          <w:i/>
        </w:rPr>
        <w:lastRenderedPageBreak/>
        <w:t xml:space="preserve">dependência econômica que impedem a paridade de participação. Desse modo, são excluídos os arranjos sociais que institucionalizam a privação, a exploração e as grandes disparidades de riqueza, renda e tempo livre, negando, assim, a algumas pessoas os meios e as oportunidades de interagir com outros como parceiros. </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 xml:space="preserve">Ao contrário, a segunda condição requer que os padrões institucionalizados de valoração cultural expressem igual respeito a todos os participantes e assegurem igual oportunidade para alcançar estima social. Essa eu denomino </w:t>
      </w:r>
      <w:r w:rsidRPr="008C75D5">
        <w:rPr>
          <w:rFonts w:ascii="Cambria" w:hAnsi="Cambria" w:cs="Arial"/>
          <w:bCs/>
          <w:i/>
          <w:iCs/>
        </w:rPr>
        <w:t>condição intersubjetiva</w:t>
      </w:r>
      <w:r w:rsidRPr="008C75D5">
        <w:rPr>
          <w:rFonts w:ascii="Cambria" w:hAnsi="Cambria" w:cs="Arial"/>
          <w:bCs/>
          <w:i/>
        </w:rPr>
        <w:t xml:space="preserve"> de paridade participativa. </w:t>
      </w:r>
      <w:r w:rsidRPr="008C75D5">
        <w:rPr>
          <w:rFonts w:ascii="Cambria" w:hAnsi="Cambria" w:cs="Arial"/>
          <w:bCs/>
          <w:i/>
          <w:u w:val="single"/>
        </w:rPr>
        <w:t>Ela exclui normas institucionalizadas que sistematicamente depreciam algumas categorias de pessoas e as características associadas a elas</w:t>
      </w:r>
      <w:r w:rsidRPr="008C75D5">
        <w:rPr>
          <w:rFonts w:ascii="Cambria" w:hAnsi="Cambria" w:cs="Arial"/>
          <w:bCs/>
          <w:i/>
        </w:rPr>
        <w:t xml:space="preserve">. Nesse sentido, são excluídos os padrões institucionalizados de valores que negam a algumas pessoas a condição de parceiros integrais na interação, seja sobrecarregando-os com uma excessiva atribuição de “diferença”, seja falhando em reconhecer o que lhes é distintivo. </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 xml:space="preserve">Tanto a condição objetiva quanto a condição intersubjetiva são necessárias para a paridade de participação. Nenhuma delas sozinha é suficiente. A condição objetiva focaliza preocupações tradicionalmente associadas com a teoria da justiça distributiva, especialmente preocupações relacionadas à estrutura econômica da sociedade e às diferenciações de classes economicamente definidas. A condição intersubjetiva focaliza preocupações recentemente abordadas pela filosofia do reconhecimento, especialmente preocupações relacionadas à ordem de </w:t>
      </w:r>
      <w:r w:rsidRPr="008C75D5">
        <w:rPr>
          <w:rFonts w:ascii="Cambria" w:hAnsi="Cambria" w:cs="Arial"/>
          <w:bCs/>
          <w:i/>
          <w:iCs/>
        </w:rPr>
        <w:t>status</w:t>
      </w:r>
      <w:r w:rsidRPr="008C75D5">
        <w:rPr>
          <w:rFonts w:ascii="Cambria" w:hAnsi="Cambria" w:cs="Arial"/>
          <w:bCs/>
          <w:i/>
        </w:rPr>
        <w:t xml:space="preserve"> da sociedade e às hierarquias de status culturalmente definidas. Dessa forma, uma concepção ampla da justiça, orientada pela norma da paridade participativa, inclui tanto redistribuição quanto reconhecimento, sem reduzir um ao outro.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(Fraser, Nancy; </w:t>
      </w:r>
      <w:r w:rsidRPr="008C75D5">
        <w:rPr>
          <w:rFonts w:ascii="Cambria" w:hAnsi="Cambria" w:cs="Arial"/>
          <w:bCs/>
          <w:i/>
          <w:iCs/>
        </w:rPr>
        <w:t>RECONHECIMENTO SEM ÉTICA?</w:t>
      </w:r>
      <w:r w:rsidRPr="008C75D5">
        <w:rPr>
          <w:rFonts w:ascii="Cambria" w:hAnsi="Cambria" w:cs="Arial"/>
          <w:bCs/>
        </w:rPr>
        <w:t xml:space="preserve"> Artigo originalmente publicado na revista </w:t>
      </w:r>
      <w:proofErr w:type="spellStart"/>
      <w:r w:rsidRPr="008C75D5">
        <w:rPr>
          <w:rFonts w:ascii="Cambria" w:hAnsi="Cambria" w:cs="Arial"/>
          <w:bCs/>
          <w:i/>
          <w:iCs/>
        </w:rPr>
        <w:t>Theory</w:t>
      </w:r>
      <w:proofErr w:type="spellEnd"/>
      <w:r w:rsidRPr="008C75D5">
        <w:rPr>
          <w:rFonts w:ascii="Cambria" w:hAnsi="Cambria" w:cs="Arial"/>
          <w:bCs/>
          <w:i/>
          <w:iCs/>
        </w:rPr>
        <w:t xml:space="preserve">, </w:t>
      </w:r>
      <w:proofErr w:type="spellStart"/>
      <w:r w:rsidRPr="008C75D5">
        <w:rPr>
          <w:rFonts w:ascii="Cambria" w:hAnsi="Cambria" w:cs="Arial"/>
          <w:bCs/>
          <w:i/>
          <w:iCs/>
        </w:rPr>
        <w:t>Culture</w:t>
      </w:r>
      <w:proofErr w:type="spellEnd"/>
      <w:r w:rsidRPr="008C75D5">
        <w:rPr>
          <w:rFonts w:ascii="Cambria" w:hAnsi="Cambria" w:cs="Arial"/>
          <w:bCs/>
          <w:i/>
          <w:iCs/>
        </w:rPr>
        <w:t xml:space="preserve"> &amp; </w:t>
      </w:r>
      <w:proofErr w:type="spellStart"/>
      <w:r w:rsidRPr="008C75D5">
        <w:rPr>
          <w:rFonts w:ascii="Cambria" w:hAnsi="Cambria" w:cs="Arial"/>
          <w:bCs/>
          <w:i/>
          <w:iCs/>
        </w:rPr>
        <w:t>Society</w:t>
      </w:r>
      <w:proofErr w:type="spellEnd"/>
      <w:r w:rsidRPr="008C75D5">
        <w:rPr>
          <w:rFonts w:ascii="Cambria" w:hAnsi="Cambria" w:cs="Arial"/>
          <w:bCs/>
        </w:rPr>
        <w:t xml:space="preserve">, v. 18, p. 21-42, 2001. Tradução de Ana Carolina Freitas Lima </w:t>
      </w:r>
      <w:proofErr w:type="spellStart"/>
      <w:r w:rsidRPr="008C75D5">
        <w:rPr>
          <w:rFonts w:ascii="Cambria" w:hAnsi="Cambria" w:cs="Arial"/>
          <w:bCs/>
        </w:rPr>
        <w:t>Ogando</w:t>
      </w:r>
      <w:proofErr w:type="spellEnd"/>
      <w:r w:rsidRPr="008C75D5">
        <w:rPr>
          <w:rFonts w:ascii="Cambria" w:hAnsi="Cambria" w:cs="Arial"/>
          <w:bCs/>
        </w:rPr>
        <w:t xml:space="preserve"> e Mariana </w:t>
      </w:r>
      <w:proofErr w:type="spellStart"/>
      <w:r w:rsidRPr="008C75D5">
        <w:rPr>
          <w:rFonts w:ascii="Cambria" w:hAnsi="Cambria" w:cs="Arial"/>
          <w:bCs/>
        </w:rPr>
        <w:t>Prandini</w:t>
      </w:r>
      <w:proofErr w:type="spellEnd"/>
      <w:r w:rsidRPr="008C75D5">
        <w:rPr>
          <w:rFonts w:ascii="Cambria" w:hAnsi="Cambria" w:cs="Arial"/>
          <w:bCs/>
        </w:rPr>
        <w:t xml:space="preserve"> Fraga Assis)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O fato de o réu </w:t>
      </w:r>
      <w:r w:rsidRPr="008C75D5">
        <w:rPr>
          <w:rFonts w:ascii="Cambria" w:hAnsi="Cambria" w:cs="Arial"/>
          <w:bCs/>
          <w:u w:val="single"/>
        </w:rPr>
        <w:t>estar</w:t>
      </w:r>
      <w:r w:rsidRPr="008C75D5">
        <w:rPr>
          <w:rFonts w:ascii="Cambria" w:hAnsi="Cambria" w:cs="Arial"/>
          <w:bCs/>
        </w:rPr>
        <w:t xml:space="preserve"> </w:t>
      </w:r>
      <w:r w:rsidRPr="008C75D5">
        <w:rPr>
          <w:rFonts w:ascii="Cambria" w:hAnsi="Cambria" w:cs="Arial"/>
          <w:bCs/>
          <w:i/>
          <w:iCs/>
        </w:rPr>
        <w:t>em situação de rua</w:t>
      </w:r>
      <w:r w:rsidRPr="008C75D5">
        <w:rPr>
          <w:rFonts w:ascii="Cambria" w:hAnsi="Cambria" w:cs="Arial"/>
          <w:bCs/>
        </w:rPr>
        <w:t xml:space="preserve"> nada diz com alguma </w:t>
      </w:r>
      <w:r w:rsidRPr="008C75D5">
        <w:rPr>
          <w:rFonts w:ascii="Cambria" w:hAnsi="Cambria" w:cs="Arial"/>
          <w:bCs/>
          <w:i/>
          <w:iCs/>
        </w:rPr>
        <w:t xml:space="preserve">conduta </w:t>
      </w:r>
      <w:r w:rsidRPr="008C75D5">
        <w:rPr>
          <w:rFonts w:ascii="Cambria" w:hAnsi="Cambria" w:cs="Arial"/>
          <w:bCs/>
        </w:rPr>
        <w:t xml:space="preserve">passível de valoração penal.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Da mesma forma </w:t>
      </w:r>
      <w:r w:rsidRPr="008C75D5">
        <w:rPr>
          <w:rFonts w:ascii="Cambria" w:hAnsi="Cambria" w:cs="Arial"/>
          <w:bCs/>
          <w:u w:val="single"/>
        </w:rPr>
        <w:t>ter</w:t>
      </w:r>
      <w:r w:rsidRPr="008C75D5">
        <w:rPr>
          <w:rFonts w:ascii="Cambria" w:hAnsi="Cambria" w:cs="Arial"/>
          <w:bCs/>
        </w:rPr>
        <w:t xml:space="preserve"> um </w:t>
      </w:r>
      <w:r w:rsidRPr="008C75D5">
        <w:rPr>
          <w:rFonts w:ascii="Cambria" w:hAnsi="Cambria" w:cs="Arial"/>
          <w:bCs/>
          <w:i/>
          <w:iCs/>
        </w:rPr>
        <w:t>ambiente familiar</w:t>
      </w:r>
      <w:r w:rsidRPr="008C75D5">
        <w:rPr>
          <w:rFonts w:ascii="Cambria" w:hAnsi="Cambria" w:cs="Arial"/>
          <w:bCs/>
        </w:rPr>
        <w:t xml:space="preserve"> </w:t>
      </w:r>
      <w:r w:rsidRPr="008C75D5">
        <w:rPr>
          <w:rFonts w:ascii="Cambria" w:hAnsi="Cambria" w:cs="Arial"/>
          <w:bCs/>
          <w:i/>
          <w:iCs/>
        </w:rPr>
        <w:t xml:space="preserve">desestruturado </w:t>
      </w:r>
      <w:r w:rsidRPr="008C75D5">
        <w:rPr>
          <w:rFonts w:ascii="Cambria" w:hAnsi="Cambria" w:cs="Arial"/>
          <w:bCs/>
        </w:rPr>
        <w:t xml:space="preserve">não implica qualquer reprovabilidade por dano a terceiros. Pior, sequer se sabe se o réu tinha </w:t>
      </w:r>
      <w:r w:rsidRPr="008C75D5">
        <w:rPr>
          <w:rFonts w:ascii="Cambria" w:hAnsi="Cambria" w:cs="Arial"/>
          <w:bCs/>
        </w:rPr>
        <w:lastRenderedPageBreak/>
        <w:t>ambiente familiar e se esse seria desestruturado. E ainda assim, se ele foi o responsável e em que medida, por quais atos.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Considera de forma negativa a </w:t>
      </w:r>
      <w:r w:rsidRPr="008C75D5">
        <w:rPr>
          <w:rFonts w:ascii="Cambria" w:hAnsi="Cambria" w:cs="Arial"/>
          <w:bCs/>
          <w:i/>
          <w:iCs/>
        </w:rPr>
        <w:t>circunstância</w:t>
      </w:r>
      <w:r w:rsidRPr="008C75D5">
        <w:rPr>
          <w:rFonts w:ascii="Cambria" w:hAnsi="Cambria" w:cs="Arial"/>
          <w:bCs/>
        </w:rPr>
        <w:t xml:space="preserve"> de estar desempregado, além de uma preocupante desconsideração da realidade econômica do país e das dificuldades especialmente vivenciadas por pessoas dessa faixa de renda e que estão na condição de moradores de rua, constitui um indevido avanço na esfera privada de cada um.</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Entendimento contrário ao exposto traduzir-se-ia em patente violação ao postulado da autodeterminação individual, elemento central do meta-princípio da dignidade da pessoa humana (art. 1°, III, da CF), ao direito de liberdade (“ninguém será obrigado a fazer ou deixar de fazer alguma coisa senão em virtude de lei” - art. 5°, II, da CF) e ao princípio da ofensividade, não passando tal ordem de ideias de uma discriminação atentatória dos direitos e liberdades fundamentais, vedada pela Constituição Federal – art. 5°, XLI, da CF).</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É certo que condutas que não estejam diretamente relacionadas à criação de um risco proibido ou a uma lesão a bem jurídico de terceiro são irrelevantes penais, não apenas em termos de configuração típica mas também em termos de valoração de condutas, sendo vedada a consideração negativa de modos de vida que fazem parte da escolha legítima de cada indivíduo e dizem respeito ao seu particular projeto de vida.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FURTO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Insignificância.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Reconhece-se a aplicação do referido princípio quando verificadas "(a) a mínima ofensividade da conduta do agente, (b) a nenhuma periculosidade social da ação, (c) o reduzidíssimo grau de reprovabilidade do comportamento e (d) a inexpressividade da lesão jurídica provocada" (HC 84.412/SP, Ministro Celso de Mello, Supremo Tribunal Federal, DJ de 19/11/2004).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lastRenderedPageBreak/>
        <w:t xml:space="preserve">A existência de condições pessoais desfavoráveis, tais como </w:t>
      </w:r>
      <w:r w:rsidRPr="008C75D5">
        <w:rPr>
          <w:rFonts w:ascii="Cambria" w:hAnsi="Cambria" w:cs="Arial"/>
          <w:bCs/>
          <w:i/>
          <w:iCs/>
        </w:rPr>
        <w:t>maus antecedentes</w:t>
      </w:r>
      <w:r w:rsidRPr="008C75D5">
        <w:rPr>
          <w:rFonts w:ascii="Cambria" w:hAnsi="Cambria" w:cs="Arial"/>
          <w:bCs/>
        </w:rPr>
        <w:t>, reincidência ou ações penais em curso, não impedem a aplicação do princípio da insignificância.</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Nesse sentido, STJ, HC 250.122-MG, 6ª Turma, Rel. Min. </w:t>
      </w:r>
      <w:proofErr w:type="spellStart"/>
      <w:r w:rsidRPr="008C75D5">
        <w:rPr>
          <w:rFonts w:ascii="Cambria" w:hAnsi="Cambria" w:cs="Arial"/>
          <w:bCs/>
        </w:rPr>
        <w:t>Og</w:t>
      </w:r>
      <w:proofErr w:type="spellEnd"/>
      <w:r w:rsidRPr="008C75D5">
        <w:rPr>
          <w:rFonts w:ascii="Cambria" w:hAnsi="Cambria" w:cs="Arial"/>
          <w:bCs/>
        </w:rPr>
        <w:t xml:space="preserve"> Fernandes, julgado em 02.04.2013 (informativo STJ n° 520):</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PENAL E PROCESSO PENAL. HABEAS CORPUS. REMÉDIO CONSTITUCIONAL SUBSTITUTIVO DE RECURSO PRÓPRIO. IMPOSSIBILIDADE. NÃO CONHECIMENTO. MANIFESTA ILEGALIDADE VERIFICADA. FURTO. INEXPRESSIVA LESÃO AO BEM JURÍDICO TUTELADO. APLICAÇÃO DO PRINCÍPIO DA INSIGNIFICÂNCIA. POSSIBILIDADE.</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 xml:space="preserve">3. Para a incidência do princípio da insignificância são necessários a mínima ofensividade da conduta do agente, nenhuma periculosidade social da ação, o reduzido grau de reprovabilidade do comportamento e a inexpressividade da lesão jurídica provocada. </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 xml:space="preserve">4. No caso, não há como deixar de reconhecer a mínima ofensividade do comportamento do paciente, que subtraiu 11 (onze) latas de leite em pó Itambé, avaliadas em R$ 76,89 (setenta e seis reais e oitenta e nove centavos), sendo de rigor o reconhecimento da atipicidade da conduta. </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 xml:space="preserve">5. Ressalte-se, ainda, que, segundo a jurisprudência consolidada nesta Corte e também no Supremo Tribunal Federal, a existência de condições pessoais desfavoráveis, tais como maus antecedentes, reincidência ou ações penais em curso, não impedem a aplicação do princípio da insignificância. </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6. Habeas corpus não conhecido, concedida a ordem de ofício a fim de, aplicando o princípio da insignificância, obstar a persecução penal contra a paciente.</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Plenário do Supremo Tribunal Federal:</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PENAL. PRINCÍPIO DA INSIGNIFICÂNCIA. CRIME DE FURTO SIMPLES. REINCIDÊNCIA. 1. A aplicação do princípio da insignificância envolve um juízo amplo (“</w:t>
      </w:r>
      <w:proofErr w:type="spellStart"/>
      <w:r w:rsidRPr="008C75D5">
        <w:rPr>
          <w:rFonts w:ascii="Cambria" w:hAnsi="Cambria" w:cs="Arial"/>
          <w:bCs/>
          <w:i/>
        </w:rPr>
        <w:t>conglobante</w:t>
      </w:r>
      <w:proofErr w:type="spellEnd"/>
      <w:r w:rsidRPr="008C75D5">
        <w:rPr>
          <w:rFonts w:ascii="Cambria" w:hAnsi="Cambria" w:cs="Arial"/>
          <w:bCs/>
          <w:i/>
        </w:rPr>
        <w:t xml:space="preserve">”), que vai além da simples aferição do resultado material da conduta, </w:t>
      </w:r>
      <w:r w:rsidRPr="008C75D5">
        <w:rPr>
          <w:rFonts w:ascii="Cambria" w:hAnsi="Cambria" w:cs="Arial"/>
          <w:bCs/>
          <w:i/>
        </w:rPr>
        <w:lastRenderedPageBreak/>
        <w:t xml:space="preserve">abrangendo também a reincidência ou contumácia do agente, elementos que, embora não determinantes, devem ser considerados. </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2. Por maioria, foram também acolhidas as seguintes teses: (i) a reincidência não impede, por si só, que o juiz da causa reconheça a insignificância penal da conduta, à luz dos elementos do caso concreto; e (</w:t>
      </w:r>
      <w:proofErr w:type="spellStart"/>
      <w:r w:rsidRPr="008C75D5">
        <w:rPr>
          <w:rFonts w:ascii="Cambria" w:hAnsi="Cambria" w:cs="Arial"/>
          <w:bCs/>
          <w:i/>
        </w:rPr>
        <w:t>ii</w:t>
      </w:r>
      <w:proofErr w:type="spellEnd"/>
      <w:r w:rsidRPr="008C75D5">
        <w:rPr>
          <w:rFonts w:ascii="Cambria" w:hAnsi="Cambria" w:cs="Arial"/>
          <w:bCs/>
          <w:i/>
        </w:rPr>
        <w:t xml:space="preserve">) na hipótese de o juiz da causa considerar penal ou socialmente indesejável a aplicação do princípio da insignificância por furto, em situações em que tal enquadramento seja </w:t>
      </w:r>
      <w:proofErr w:type="spellStart"/>
      <w:r w:rsidRPr="008C75D5">
        <w:rPr>
          <w:rFonts w:ascii="Cambria" w:hAnsi="Cambria" w:cs="Arial"/>
          <w:bCs/>
          <w:i/>
        </w:rPr>
        <w:t>cogitável</w:t>
      </w:r>
      <w:proofErr w:type="spellEnd"/>
      <w:r w:rsidRPr="008C75D5">
        <w:rPr>
          <w:rFonts w:ascii="Cambria" w:hAnsi="Cambria" w:cs="Arial"/>
          <w:bCs/>
          <w:i/>
        </w:rPr>
        <w:t xml:space="preserve">, eventual sanção privativa de liberdade deverá ser fixada, como regra geral, em regime inicial aberto, paralisando-se a incidência do art. 33, § 2º, c, do CP no caso concreto, com base no princípio da proporcionalidade. </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 xml:space="preserve">3. No caso concreto, a maioria entendeu por não aplicar o princípio da insignificância, reconhecendo, porém, a necessidade de abrandar o regime inicial de cumprimento da pena. </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4. Ordem concedida de ofício, para alterar de semiaberto para aberto o regime inicial de cumprimento da pena imposta ao paciente.</w:t>
      </w:r>
    </w:p>
    <w:p w:rsidR="008C75D5" w:rsidRPr="008C75D5" w:rsidRDefault="008C75D5" w:rsidP="008C75D5">
      <w:pPr>
        <w:spacing w:line="360" w:lineRule="auto"/>
        <w:ind w:firstLine="1134"/>
        <w:jc w:val="both"/>
        <w:rPr>
          <w:rFonts w:ascii="Cambria" w:hAnsi="Cambria" w:cs="Arial"/>
          <w:bCs/>
          <w:i/>
        </w:rPr>
      </w:pPr>
    </w:p>
    <w:p w:rsidR="008C75D5" w:rsidRPr="008C75D5" w:rsidRDefault="008C75D5" w:rsidP="008C75D5">
      <w:pPr>
        <w:spacing w:line="360" w:lineRule="auto"/>
        <w:ind w:firstLine="1134"/>
        <w:jc w:val="both"/>
        <w:rPr>
          <w:rFonts w:ascii="Cambria" w:hAnsi="Cambria" w:cs="Arial"/>
          <w:bCs/>
          <w:i/>
        </w:rPr>
      </w:pPr>
      <w:r w:rsidRPr="008C75D5">
        <w:rPr>
          <w:rFonts w:ascii="Cambria" w:hAnsi="Cambria" w:cs="Arial"/>
          <w:bCs/>
          <w:i/>
        </w:rPr>
        <w:t xml:space="preserve">(STF, HC 123108, plenário, Rel. Min. Luís Roberto Barroso, </w:t>
      </w:r>
      <w:proofErr w:type="spellStart"/>
      <w:r w:rsidRPr="008C75D5">
        <w:rPr>
          <w:rFonts w:ascii="Cambria" w:hAnsi="Cambria" w:cs="Arial"/>
          <w:bCs/>
          <w:i/>
        </w:rPr>
        <w:t>Dje</w:t>
      </w:r>
      <w:proofErr w:type="spellEnd"/>
      <w:r w:rsidRPr="008C75D5">
        <w:rPr>
          <w:rFonts w:ascii="Cambria" w:hAnsi="Cambria" w:cs="Arial"/>
          <w:bCs/>
          <w:i/>
        </w:rPr>
        <w:t xml:space="preserve"> 01.02.2016).</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Outros casos:</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Maus antecedentes e período depurador;</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Art. 387, § 2º do CPP: o tempo de prisão provisória, de prisão administrativa ou de internação, no Brasil ou no estrangeiro, será computado para fins de determinação do regime inicial de pena privativa de liberdade. (Incluído pela Lei nº 12.736, de 2012)</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xml:space="preserve">“Personalidade” voltada para a prática do crime; </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Regime semiaberto: o incompatível com a prisão preventiva (desestimula recorrer – violação ao direito ao duplo grau e jurisdição);</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proofErr w:type="spellStart"/>
      <w:r w:rsidRPr="008C75D5">
        <w:rPr>
          <w:rFonts w:ascii="Cambria" w:hAnsi="Cambria" w:cs="Arial"/>
          <w:bCs/>
          <w:i/>
          <w:iCs/>
        </w:rPr>
        <w:lastRenderedPageBreak/>
        <w:t>Mutatio</w:t>
      </w:r>
      <w:proofErr w:type="spellEnd"/>
      <w:r w:rsidRPr="008C75D5">
        <w:rPr>
          <w:rFonts w:ascii="Cambria" w:hAnsi="Cambria" w:cs="Arial"/>
          <w:bCs/>
          <w:i/>
          <w:iCs/>
        </w:rPr>
        <w:t xml:space="preserve"> </w:t>
      </w:r>
      <w:proofErr w:type="spellStart"/>
      <w:r w:rsidRPr="008C75D5">
        <w:rPr>
          <w:rFonts w:ascii="Cambria" w:hAnsi="Cambria" w:cs="Arial"/>
          <w:bCs/>
          <w:i/>
          <w:iCs/>
        </w:rPr>
        <w:t>libelli</w:t>
      </w:r>
      <w:proofErr w:type="spellEnd"/>
      <w:r w:rsidRPr="008C75D5">
        <w:rPr>
          <w:rFonts w:ascii="Cambria" w:hAnsi="Cambria" w:cs="Arial"/>
          <w:bCs/>
        </w:rPr>
        <w:t xml:space="preserve">: art. 384. Encerrada a instrução probatória, se entender cabível nova definição jurídica do fato, em consequência de prova existente nos autos de elemento ou circunstância da infração penal não contida na acusação, o Ministério Público </w:t>
      </w:r>
      <w:r w:rsidRPr="008C75D5">
        <w:rPr>
          <w:rFonts w:ascii="Cambria" w:hAnsi="Cambria" w:cs="Arial"/>
          <w:bCs/>
          <w:u w:val="single"/>
        </w:rPr>
        <w:t>deverá aditar a denúncia ou queixa, no prazo de 5 (cinco) dias</w:t>
      </w:r>
      <w:r w:rsidRPr="008C75D5">
        <w:rPr>
          <w:rFonts w:ascii="Cambria" w:hAnsi="Cambria" w:cs="Arial"/>
          <w:bCs/>
        </w:rPr>
        <w:t xml:space="preserve">, se em virtude desta houver sido instaurado o processo em crime de ação pública, </w:t>
      </w:r>
      <w:r w:rsidRPr="008C75D5">
        <w:rPr>
          <w:rFonts w:ascii="Cambria" w:hAnsi="Cambria" w:cs="Arial"/>
          <w:bCs/>
          <w:u w:val="single"/>
        </w:rPr>
        <w:t>reduzindo-se a termo o aditamento, quando feito oralmente</w:t>
      </w:r>
      <w:r w:rsidRPr="008C75D5">
        <w:rPr>
          <w:rFonts w:ascii="Cambria" w:hAnsi="Cambria" w:cs="Arial"/>
          <w:bCs/>
        </w:rPr>
        <w:t>. (Redação dada pela Lei nº 11.719, de 2008).</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1</w:t>
      </w:r>
      <w:r w:rsidRPr="008C75D5">
        <w:rPr>
          <w:rFonts w:ascii="Cambria" w:hAnsi="Cambria" w:cs="Arial"/>
          <w:bCs/>
          <w:u w:val="single"/>
          <w:vertAlign w:val="superscript"/>
        </w:rPr>
        <w:t>o</w:t>
      </w:r>
      <w:r w:rsidRPr="008C75D5">
        <w:rPr>
          <w:rFonts w:ascii="Cambria" w:hAnsi="Cambria" w:cs="Arial"/>
          <w:bCs/>
        </w:rPr>
        <w:t xml:space="preserve"> Não procedendo o órgão do Ministério Público ao aditamento, aplica-se o art. 28 deste Código. (Incluído pela Lei nº 11.719, de 2008).</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 2</w:t>
      </w:r>
      <w:r w:rsidRPr="008C75D5">
        <w:rPr>
          <w:rFonts w:ascii="Cambria" w:hAnsi="Cambria" w:cs="Arial"/>
          <w:bCs/>
          <w:u w:val="single"/>
          <w:vertAlign w:val="superscript"/>
        </w:rPr>
        <w:t>o</w:t>
      </w:r>
      <w:r w:rsidRPr="008C75D5">
        <w:rPr>
          <w:rFonts w:ascii="Cambria" w:hAnsi="Cambria" w:cs="Arial"/>
          <w:bCs/>
        </w:rPr>
        <w:t xml:space="preserve"> Ouvido o defensor do acusado no prazo de 5 (cinco) dias e admitido o aditamento, o juiz, a requerimento de qualquer das partes, designará dia e hora para continuação da audiência, com inquirição de testemunhas, novo interrogatório do acusado, realização de debates e julgamento. (Incluído pela Lei nº 11.719, de 2008).</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proofErr w:type="spellStart"/>
      <w:r w:rsidRPr="008C75D5">
        <w:rPr>
          <w:rFonts w:ascii="Cambria" w:hAnsi="Cambria" w:cs="Arial"/>
          <w:bCs/>
        </w:rPr>
        <w:t>Obs</w:t>
      </w:r>
      <w:proofErr w:type="spellEnd"/>
      <w:r w:rsidRPr="008C75D5">
        <w:rPr>
          <w:rFonts w:ascii="Cambria" w:hAnsi="Cambria" w:cs="Arial"/>
          <w:bCs/>
        </w:rPr>
        <w:t>: laudo antes da audiência (não-aditamento em audiência), memoriais do MP (sem aditar), preliminar da defesa, vista ao MP, manifestação (sem aditar), conclusão ao juiz, abertura de vista ao MP “para aditar” = preclusão, intempestividade, violação do princípio acusatório (filtragem constitucional e convencional do § 1º).</w:t>
      </w:r>
    </w:p>
    <w:p w:rsidR="008C75D5" w:rsidRPr="008C75D5" w:rsidRDefault="008C75D5" w:rsidP="008C75D5">
      <w:pPr>
        <w:spacing w:line="360" w:lineRule="auto"/>
        <w:ind w:firstLine="1134"/>
        <w:jc w:val="both"/>
        <w:rPr>
          <w:rFonts w:ascii="Cambria" w:hAnsi="Cambria" w:cs="Arial"/>
          <w:bCs/>
        </w:rPr>
      </w:pPr>
    </w:p>
    <w:p w:rsidR="008C75D5" w:rsidRPr="008C75D5" w:rsidRDefault="008C75D5" w:rsidP="008C75D5">
      <w:pPr>
        <w:spacing w:line="360" w:lineRule="auto"/>
        <w:ind w:firstLine="1134"/>
        <w:jc w:val="both"/>
        <w:rPr>
          <w:rFonts w:ascii="Cambria" w:hAnsi="Cambria" w:cs="Arial"/>
          <w:bCs/>
        </w:rPr>
      </w:pPr>
      <w:r w:rsidRPr="008C75D5">
        <w:rPr>
          <w:rFonts w:ascii="Cambria" w:hAnsi="Cambria" w:cs="Arial"/>
          <w:bCs/>
        </w:rPr>
        <w:t>Garantia de defesa técnica eficiente: dever de garantia pelo magistrado (Súmula 523 do STF: no processo penal, a falta da defesa constitui nulidade absoluta, mas a sua deficiência só o anulará se houver prova de prejuízo para o réu).</w:t>
      </w:r>
    </w:p>
    <w:p w:rsidR="00FC7CD4" w:rsidRPr="008C75D5" w:rsidRDefault="00FC7CD4" w:rsidP="008C75D5">
      <w:pPr>
        <w:spacing w:line="360" w:lineRule="auto"/>
        <w:ind w:firstLine="1134"/>
        <w:jc w:val="both"/>
        <w:rPr>
          <w:rFonts w:ascii="Cambria" w:hAnsi="Cambria"/>
        </w:rPr>
      </w:pPr>
    </w:p>
    <w:sectPr w:rsidR="00FC7CD4" w:rsidRPr="008C75D5" w:rsidSect="0071727E">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05B" w:rsidRDefault="000B105B">
      <w:r>
        <w:separator/>
      </w:r>
    </w:p>
  </w:endnote>
  <w:endnote w:type="continuationSeparator" w:id="0">
    <w:p w:rsidR="000B105B" w:rsidRDefault="000B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A71" w:rsidRPr="00A70327" w:rsidRDefault="00634A71">
    <w:pPr>
      <w:pStyle w:val="Rodap"/>
      <w:rPr>
        <w:sz w:val="16"/>
        <w:szCs w:val="16"/>
      </w:rPr>
    </w:pPr>
    <w:r w:rsidRPr="00597DAF">
      <w:tab/>
    </w:r>
    <w:r>
      <w:t xml:space="preserve">                                                          </w:t>
    </w:r>
    <w:r w:rsidRPr="00A70327">
      <w:rPr>
        <w:sz w:val="16"/>
        <w:szCs w:val="16"/>
      </w:rPr>
      <w:t xml:space="preserve">- </w:t>
    </w:r>
    <w:r w:rsidRPr="00A70327">
      <w:rPr>
        <w:sz w:val="16"/>
        <w:szCs w:val="16"/>
      </w:rPr>
      <w:fldChar w:fldCharType="begin"/>
    </w:r>
    <w:r w:rsidRPr="00A70327">
      <w:rPr>
        <w:sz w:val="16"/>
        <w:szCs w:val="16"/>
      </w:rPr>
      <w:instrText xml:space="preserve"> PAGE </w:instrText>
    </w:r>
    <w:r w:rsidRPr="00A70327">
      <w:rPr>
        <w:sz w:val="16"/>
        <w:szCs w:val="16"/>
      </w:rPr>
      <w:fldChar w:fldCharType="separate"/>
    </w:r>
    <w:r>
      <w:rPr>
        <w:noProof/>
        <w:sz w:val="16"/>
        <w:szCs w:val="16"/>
      </w:rPr>
      <w:t>1</w:t>
    </w:r>
    <w:r w:rsidRPr="00A70327">
      <w:rPr>
        <w:sz w:val="16"/>
        <w:szCs w:val="16"/>
      </w:rPr>
      <w:fldChar w:fldCharType="end"/>
    </w:r>
    <w:r w:rsidRPr="00A7032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05B" w:rsidRDefault="000B105B">
      <w:r>
        <w:separator/>
      </w:r>
    </w:p>
  </w:footnote>
  <w:footnote w:type="continuationSeparator" w:id="0">
    <w:p w:rsidR="000B105B" w:rsidRDefault="000B1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F53"/>
    <w:multiLevelType w:val="hybridMultilevel"/>
    <w:tmpl w:val="02163F86"/>
    <w:lvl w:ilvl="0" w:tplc="49E41376">
      <w:start w:val="3"/>
      <w:numFmt w:val="bullet"/>
      <w:lvlText w:val="-"/>
      <w:lvlJc w:val="left"/>
      <w:pPr>
        <w:tabs>
          <w:tab w:val="num" w:pos="1065"/>
        </w:tabs>
        <w:ind w:left="1065" w:hanging="360"/>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3020FC9"/>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04FC59C4"/>
    <w:multiLevelType w:val="hybridMultilevel"/>
    <w:tmpl w:val="FD729FF8"/>
    <w:lvl w:ilvl="0" w:tplc="A0D2FFD2">
      <w:start w:val="1"/>
      <w:numFmt w:val="bullet"/>
      <w:lvlText w:val=""/>
      <w:lvlJc w:val="left"/>
      <w:pPr>
        <w:tabs>
          <w:tab w:val="num" w:pos="1497"/>
        </w:tabs>
        <w:ind w:left="1137" w:firstLine="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DB91174"/>
    <w:multiLevelType w:val="hybridMultilevel"/>
    <w:tmpl w:val="919CAE84"/>
    <w:lvl w:ilvl="0" w:tplc="554475B4">
      <w:start w:val="1"/>
      <w:numFmt w:val="decimal"/>
      <w:lvlText w:val="27.%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394146"/>
    <w:multiLevelType w:val="hybridMultilevel"/>
    <w:tmpl w:val="9ECC9486"/>
    <w:lvl w:ilvl="0" w:tplc="6B66A2CA">
      <w:start w:val="1"/>
      <w:numFmt w:val="bullet"/>
      <w:lvlText w:val="-"/>
      <w:lvlJc w:val="left"/>
      <w:pPr>
        <w:tabs>
          <w:tab w:val="num" w:pos="720"/>
        </w:tabs>
        <w:ind w:left="720" w:hanging="360"/>
      </w:pPr>
      <w:rPr>
        <w:rFonts w:ascii="Times New Roman" w:hAnsi="Times New Roman" w:hint="default"/>
      </w:rPr>
    </w:lvl>
    <w:lvl w:ilvl="1" w:tplc="A3B00568" w:tentative="1">
      <w:start w:val="1"/>
      <w:numFmt w:val="bullet"/>
      <w:lvlText w:val="-"/>
      <w:lvlJc w:val="left"/>
      <w:pPr>
        <w:tabs>
          <w:tab w:val="num" w:pos="1440"/>
        </w:tabs>
        <w:ind w:left="1440" w:hanging="360"/>
      </w:pPr>
      <w:rPr>
        <w:rFonts w:ascii="Times New Roman" w:hAnsi="Times New Roman" w:hint="default"/>
      </w:rPr>
    </w:lvl>
    <w:lvl w:ilvl="2" w:tplc="C3C02D8C" w:tentative="1">
      <w:start w:val="1"/>
      <w:numFmt w:val="bullet"/>
      <w:lvlText w:val="-"/>
      <w:lvlJc w:val="left"/>
      <w:pPr>
        <w:tabs>
          <w:tab w:val="num" w:pos="2160"/>
        </w:tabs>
        <w:ind w:left="2160" w:hanging="360"/>
      </w:pPr>
      <w:rPr>
        <w:rFonts w:ascii="Times New Roman" w:hAnsi="Times New Roman" w:hint="default"/>
      </w:rPr>
    </w:lvl>
    <w:lvl w:ilvl="3" w:tplc="CCC41A6C" w:tentative="1">
      <w:start w:val="1"/>
      <w:numFmt w:val="bullet"/>
      <w:lvlText w:val="-"/>
      <w:lvlJc w:val="left"/>
      <w:pPr>
        <w:tabs>
          <w:tab w:val="num" w:pos="2880"/>
        </w:tabs>
        <w:ind w:left="2880" w:hanging="360"/>
      </w:pPr>
      <w:rPr>
        <w:rFonts w:ascii="Times New Roman" w:hAnsi="Times New Roman" w:hint="default"/>
      </w:rPr>
    </w:lvl>
    <w:lvl w:ilvl="4" w:tplc="11D09A94" w:tentative="1">
      <w:start w:val="1"/>
      <w:numFmt w:val="bullet"/>
      <w:lvlText w:val="-"/>
      <w:lvlJc w:val="left"/>
      <w:pPr>
        <w:tabs>
          <w:tab w:val="num" w:pos="3600"/>
        </w:tabs>
        <w:ind w:left="3600" w:hanging="360"/>
      </w:pPr>
      <w:rPr>
        <w:rFonts w:ascii="Times New Roman" w:hAnsi="Times New Roman" w:hint="default"/>
      </w:rPr>
    </w:lvl>
    <w:lvl w:ilvl="5" w:tplc="CA747E5E" w:tentative="1">
      <w:start w:val="1"/>
      <w:numFmt w:val="bullet"/>
      <w:lvlText w:val="-"/>
      <w:lvlJc w:val="left"/>
      <w:pPr>
        <w:tabs>
          <w:tab w:val="num" w:pos="4320"/>
        </w:tabs>
        <w:ind w:left="4320" w:hanging="360"/>
      </w:pPr>
      <w:rPr>
        <w:rFonts w:ascii="Times New Roman" w:hAnsi="Times New Roman" w:hint="default"/>
      </w:rPr>
    </w:lvl>
    <w:lvl w:ilvl="6" w:tplc="413C28FA" w:tentative="1">
      <w:start w:val="1"/>
      <w:numFmt w:val="bullet"/>
      <w:lvlText w:val="-"/>
      <w:lvlJc w:val="left"/>
      <w:pPr>
        <w:tabs>
          <w:tab w:val="num" w:pos="5040"/>
        </w:tabs>
        <w:ind w:left="5040" w:hanging="360"/>
      </w:pPr>
      <w:rPr>
        <w:rFonts w:ascii="Times New Roman" w:hAnsi="Times New Roman" w:hint="default"/>
      </w:rPr>
    </w:lvl>
    <w:lvl w:ilvl="7" w:tplc="47C49572" w:tentative="1">
      <w:start w:val="1"/>
      <w:numFmt w:val="bullet"/>
      <w:lvlText w:val="-"/>
      <w:lvlJc w:val="left"/>
      <w:pPr>
        <w:tabs>
          <w:tab w:val="num" w:pos="5760"/>
        </w:tabs>
        <w:ind w:left="5760" w:hanging="360"/>
      </w:pPr>
      <w:rPr>
        <w:rFonts w:ascii="Times New Roman" w:hAnsi="Times New Roman" w:hint="default"/>
      </w:rPr>
    </w:lvl>
    <w:lvl w:ilvl="8" w:tplc="AB2AF5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7E1421"/>
    <w:multiLevelType w:val="hybridMultilevel"/>
    <w:tmpl w:val="BB82E0DC"/>
    <w:lvl w:ilvl="0" w:tplc="58367D56">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6" w15:restartNumberingAfterBreak="0">
    <w:nsid w:val="1AD20D62"/>
    <w:multiLevelType w:val="hybridMultilevel"/>
    <w:tmpl w:val="1F80C3EC"/>
    <w:lvl w:ilvl="0" w:tplc="A99A1610">
      <w:start w:val="1"/>
      <w:numFmt w:val="decimal"/>
      <w:lvlText w:val="%1."/>
      <w:lvlJc w:val="left"/>
      <w:pPr>
        <w:tabs>
          <w:tab w:val="num" w:pos="720"/>
        </w:tabs>
        <w:ind w:left="720" w:hanging="360"/>
      </w:pPr>
    </w:lvl>
    <w:lvl w:ilvl="1" w:tplc="CBB44638" w:tentative="1">
      <w:start w:val="1"/>
      <w:numFmt w:val="decimal"/>
      <w:lvlText w:val="%2."/>
      <w:lvlJc w:val="left"/>
      <w:pPr>
        <w:tabs>
          <w:tab w:val="num" w:pos="1440"/>
        </w:tabs>
        <w:ind w:left="1440" w:hanging="360"/>
      </w:pPr>
    </w:lvl>
    <w:lvl w:ilvl="2" w:tplc="381AAA58" w:tentative="1">
      <w:start w:val="1"/>
      <w:numFmt w:val="decimal"/>
      <w:lvlText w:val="%3."/>
      <w:lvlJc w:val="left"/>
      <w:pPr>
        <w:tabs>
          <w:tab w:val="num" w:pos="2160"/>
        </w:tabs>
        <w:ind w:left="2160" w:hanging="360"/>
      </w:pPr>
    </w:lvl>
    <w:lvl w:ilvl="3" w:tplc="8C762868" w:tentative="1">
      <w:start w:val="1"/>
      <w:numFmt w:val="decimal"/>
      <w:lvlText w:val="%4."/>
      <w:lvlJc w:val="left"/>
      <w:pPr>
        <w:tabs>
          <w:tab w:val="num" w:pos="2880"/>
        </w:tabs>
        <w:ind w:left="2880" w:hanging="360"/>
      </w:pPr>
    </w:lvl>
    <w:lvl w:ilvl="4" w:tplc="79F091D0" w:tentative="1">
      <w:start w:val="1"/>
      <w:numFmt w:val="decimal"/>
      <w:lvlText w:val="%5."/>
      <w:lvlJc w:val="left"/>
      <w:pPr>
        <w:tabs>
          <w:tab w:val="num" w:pos="3600"/>
        </w:tabs>
        <w:ind w:left="3600" w:hanging="360"/>
      </w:pPr>
    </w:lvl>
    <w:lvl w:ilvl="5" w:tplc="4A9210B2" w:tentative="1">
      <w:start w:val="1"/>
      <w:numFmt w:val="decimal"/>
      <w:lvlText w:val="%6."/>
      <w:lvlJc w:val="left"/>
      <w:pPr>
        <w:tabs>
          <w:tab w:val="num" w:pos="4320"/>
        </w:tabs>
        <w:ind w:left="4320" w:hanging="360"/>
      </w:pPr>
    </w:lvl>
    <w:lvl w:ilvl="6" w:tplc="F7DEAD3A" w:tentative="1">
      <w:start w:val="1"/>
      <w:numFmt w:val="decimal"/>
      <w:lvlText w:val="%7."/>
      <w:lvlJc w:val="left"/>
      <w:pPr>
        <w:tabs>
          <w:tab w:val="num" w:pos="5040"/>
        </w:tabs>
        <w:ind w:left="5040" w:hanging="360"/>
      </w:pPr>
    </w:lvl>
    <w:lvl w:ilvl="7" w:tplc="0CA0A8BA" w:tentative="1">
      <w:start w:val="1"/>
      <w:numFmt w:val="decimal"/>
      <w:lvlText w:val="%8."/>
      <w:lvlJc w:val="left"/>
      <w:pPr>
        <w:tabs>
          <w:tab w:val="num" w:pos="5760"/>
        </w:tabs>
        <w:ind w:left="5760" w:hanging="360"/>
      </w:pPr>
    </w:lvl>
    <w:lvl w:ilvl="8" w:tplc="9AD44C5A" w:tentative="1">
      <w:start w:val="1"/>
      <w:numFmt w:val="decimal"/>
      <w:lvlText w:val="%9."/>
      <w:lvlJc w:val="left"/>
      <w:pPr>
        <w:tabs>
          <w:tab w:val="num" w:pos="6480"/>
        </w:tabs>
        <w:ind w:left="6480" w:hanging="360"/>
      </w:pPr>
    </w:lvl>
  </w:abstractNum>
  <w:abstractNum w:abstractNumId="7" w15:restartNumberingAfterBreak="0">
    <w:nsid w:val="1AE21219"/>
    <w:multiLevelType w:val="hybridMultilevel"/>
    <w:tmpl w:val="C41020AC"/>
    <w:lvl w:ilvl="0" w:tplc="B83A0380">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8" w15:restartNumberingAfterBreak="0">
    <w:nsid w:val="1E322C33"/>
    <w:multiLevelType w:val="hybridMultilevel"/>
    <w:tmpl w:val="654691B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15:restartNumberingAfterBreak="0">
    <w:nsid w:val="20EA5C51"/>
    <w:multiLevelType w:val="hybridMultilevel"/>
    <w:tmpl w:val="A65475E2"/>
    <w:lvl w:ilvl="0" w:tplc="F29A8EEA">
      <w:start w:val="1"/>
      <w:numFmt w:val="lowerLetter"/>
      <w:lvlText w:val="%1)"/>
      <w:lvlJc w:val="left"/>
      <w:pPr>
        <w:tabs>
          <w:tab w:val="num" w:pos="720"/>
        </w:tabs>
        <w:ind w:left="720" w:hanging="360"/>
      </w:pPr>
    </w:lvl>
    <w:lvl w:ilvl="1" w:tplc="107CE0A4" w:tentative="1">
      <w:start w:val="1"/>
      <w:numFmt w:val="lowerLetter"/>
      <w:lvlText w:val="%2)"/>
      <w:lvlJc w:val="left"/>
      <w:pPr>
        <w:tabs>
          <w:tab w:val="num" w:pos="1440"/>
        </w:tabs>
        <w:ind w:left="1440" w:hanging="360"/>
      </w:pPr>
    </w:lvl>
    <w:lvl w:ilvl="2" w:tplc="6F0EEAF8" w:tentative="1">
      <w:start w:val="1"/>
      <w:numFmt w:val="lowerLetter"/>
      <w:lvlText w:val="%3)"/>
      <w:lvlJc w:val="left"/>
      <w:pPr>
        <w:tabs>
          <w:tab w:val="num" w:pos="2160"/>
        </w:tabs>
        <w:ind w:left="2160" w:hanging="360"/>
      </w:pPr>
    </w:lvl>
    <w:lvl w:ilvl="3" w:tplc="F2FC4244" w:tentative="1">
      <w:start w:val="1"/>
      <w:numFmt w:val="lowerLetter"/>
      <w:lvlText w:val="%4)"/>
      <w:lvlJc w:val="left"/>
      <w:pPr>
        <w:tabs>
          <w:tab w:val="num" w:pos="2880"/>
        </w:tabs>
        <w:ind w:left="2880" w:hanging="360"/>
      </w:pPr>
    </w:lvl>
    <w:lvl w:ilvl="4" w:tplc="8640DA96" w:tentative="1">
      <w:start w:val="1"/>
      <w:numFmt w:val="lowerLetter"/>
      <w:lvlText w:val="%5)"/>
      <w:lvlJc w:val="left"/>
      <w:pPr>
        <w:tabs>
          <w:tab w:val="num" w:pos="3600"/>
        </w:tabs>
        <w:ind w:left="3600" w:hanging="360"/>
      </w:pPr>
    </w:lvl>
    <w:lvl w:ilvl="5" w:tplc="44666562" w:tentative="1">
      <w:start w:val="1"/>
      <w:numFmt w:val="lowerLetter"/>
      <w:lvlText w:val="%6)"/>
      <w:lvlJc w:val="left"/>
      <w:pPr>
        <w:tabs>
          <w:tab w:val="num" w:pos="4320"/>
        </w:tabs>
        <w:ind w:left="4320" w:hanging="360"/>
      </w:pPr>
    </w:lvl>
    <w:lvl w:ilvl="6" w:tplc="E340A1B4" w:tentative="1">
      <w:start w:val="1"/>
      <w:numFmt w:val="lowerLetter"/>
      <w:lvlText w:val="%7)"/>
      <w:lvlJc w:val="left"/>
      <w:pPr>
        <w:tabs>
          <w:tab w:val="num" w:pos="5040"/>
        </w:tabs>
        <w:ind w:left="5040" w:hanging="360"/>
      </w:pPr>
    </w:lvl>
    <w:lvl w:ilvl="7" w:tplc="26248C5A" w:tentative="1">
      <w:start w:val="1"/>
      <w:numFmt w:val="lowerLetter"/>
      <w:lvlText w:val="%8)"/>
      <w:lvlJc w:val="left"/>
      <w:pPr>
        <w:tabs>
          <w:tab w:val="num" w:pos="5760"/>
        </w:tabs>
        <w:ind w:left="5760" w:hanging="360"/>
      </w:pPr>
    </w:lvl>
    <w:lvl w:ilvl="8" w:tplc="F63E5026" w:tentative="1">
      <w:start w:val="1"/>
      <w:numFmt w:val="lowerLetter"/>
      <w:lvlText w:val="%9)"/>
      <w:lvlJc w:val="left"/>
      <w:pPr>
        <w:tabs>
          <w:tab w:val="num" w:pos="6480"/>
        </w:tabs>
        <w:ind w:left="6480" w:hanging="360"/>
      </w:pPr>
    </w:lvl>
  </w:abstractNum>
  <w:abstractNum w:abstractNumId="10" w15:restartNumberingAfterBreak="0">
    <w:nsid w:val="27115FE2"/>
    <w:multiLevelType w:val="multilevel"/>
    <w:tmpl w:val="46FC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A043B9"/>
    <w:multiLevelType w:val="hybridMultilevel"/>
    <w:tmpl w:val="A4E8F58E"/>
    <w:lvl w:ilvl="0" w:tplc="FDA2F6C8">
      <w:start w:val="1"/>
      <w:numFmt w:val="bullet"/>
      <w:lvlText w:val="-"/>
      <w:lvlJc w:val="left"/>
      <w:pPr>
        <w:tabs>
          <w:tab w:val="num" w:pos="720"/>
        </w:tabs>
        <w:ind w:left="720" w:hanging="360"/>
      </w:pPr>
      <w:rPr>
        <w:rFonts w:ascii="Times New Roman" w:hAnsi="Times New Roman" w:hint="default"/>
      </w:rPr>
    </w:lvl>
    <w:lvl w:ilvl="1" w:tplc="F8B4DBD4" w:tentative="1">
      <w:start w:val="1"/>
      <w:numFmt w:val="bullet"/>
      <w:lvlText w:val="-"/>
      <w:lvlJc w:val="left"/>
      <w:pPr>
        <w:tabs>
          <w:tab w:val="num" w:pos="1440"/>
        </w:tabs>
        <w:ind w:left="1440" w:hanging="360"/>
      </w:pPr>
      <w:rPr>
        <w:rFonts w:ascii="Times New Roman" w:hAnsi="Times New Roman" w:hint="default"/>
      </w:rPr>
    </w:lvl>
    <w:lvl w:ilvl="2" w:tplc="D2E8CAD4" w:tentative="1">
      <w:start w:val="1"/>
      <w:numFmt w:val="bullet"/>
      <w:lvlText w:val="-"/>
      <w:lvlJc w:val="left"/>
      <w:pPr>
        <w:tabs>
          <w:tab w:val="num" w:pos="2160"/>
        </w:tabs>
        <w:ind w:left="2160" w:hanging="360"/>
      </w:pPr>
      <w:rPr>
        <w:rFonts w:ascii="Times New Roman" w:hAnsi="Times New Roman" w:hint="default"/>
      </w:rPr>
    </w:lvl>
    <w:lvl w:ilvl="3" w:tplc="BC4404D0" w:tentative="1">
      <w:start w:val="1"/>
      <w:numFmt w:val="bullet"/>
      <w:lvlText w:val="-"/>
      <w:lvlJc w:val="left"/>
      <w:pPr>
        <w:tabs>
          <w:tab w:val="num" w:pos="2880"/>
        </w:tabs>
        <w:ind w:left="2880" w:hanging="360"/>
      </w:pPr>
      <w:rPr>
        <w:rFonts w:ascii="Times New Roman" w:hAnsi="Times New Roman" w:hint="default"/>
      </w:rPr>
    </w:lvl>
    <w:lvl w:ilvl="4" w:tplc="0EE6EE08" w:tentative="1">
      <w:start w:val="1"/>
      <w:numFmt w:val="bullet"/>
      <w:lvlText w:val="-"/>
      <w:lvlJc w:val="left"/>
      <w:pPr>
        <w:tabs>
          <w:tab w:val="num" w:pos="3600"/>
        </w:tabs>
        <w:ind w:left="3600" w:hanging="360"/>
      </w:pPr>
      <w:rPr>
        <w:rFonts w:ascii="Times New Roman" w:hAnsi="Times New Roman" w:hint="default"/>
      </w:rPr>
    </w:lvl>
    <w:lvl w:ilvl="5" w:tplc="5D0ABD8E" w:tentative="1">
      <w:start w:val="1"/>
      <w:numFmt w:val="bullet"/>
      <w:lvlText w:val="-"/>
      <w:lvlJc w:val="left"/>
      <w:pPr>
        <w:tabs>
          <w:tab w:val="num" w:pos="4320"/>
        </w:tabs>
        <w:ind w:left="4320" w:hanging="360"/>
      </w:pPr>
      <w:rPr>
        <w:rFonts w:ascii="Times New Roman" w:hAnsi="Times New Roman" w:hint="default"/>
      </w:rPr>
    </w:lvl>
    <w:lvl w:ilvl="6" w:tplc="79D8D758" w:tentative="1">
      <w:start w:val="1"/>
      <w:numFmt w:val="bullet"/>
      <w:lvlText w:val="-"/>
      <w:lvlJc w:val="left"/>
      <w:pPr>
        <w:tabs>
          <w:tab w:val="num" w:pos="5040"/>
        </w:tabs>
        <w:ind w:left="5040" w:hanging="360"/>
      </w:pPr>
      <w:rPr>
        <w:rFonts w:ascii="Times New Roman" w:hAnsi="Times New Roman" w:hint="default"/>
      </w:rPr>
    </w:lvl>
    <w:lvl w:ilvl="7" w:tplc="CD54AE40" w:tentative="1">
      <w:start w:val="1"/>
      <w:numFmt w:val="bullet"/>
      <w:lvlText w:val="-"/>
      <w:lvlJc w:val="left"/>
      <w:pPr>
        <w:tabs>
          <w:tab w:val="num" w:pos="5760"/>
        </w:tabs>
        <w:ind w:left="5760" w:hanging="360"/>
      </w:pPr>
      <w:rPr>
        <w:rFonts w:ascii="Times New Roman" w:hAnsi="Times New Roman" w:hint="default"/>
      </w:rPr>
    </w:lvl>
    <w:lvl w:ilvl="8" w:tplc="5EEE43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27219C"/>
    <w:multiLevelType w:val="hybridMultilevel"/>
    <w:tmpl w:val="21AADBBE"/>
    <w:lvl w:ilvl="0" w:tplc="C42A123E">
      <w:start w:val="2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C41E1E"/>
    <w:multiLevelType w:val="hybridMultilevel"/>
    <w:tmpl w:val="1FC88D0C"/>
    <w:lvl w:ilvl="0" w:tplc="A208752A">
      <w:start w:val="1"/>
      <w:numFmt w:val="decimal"/>
      <w:lvlText w:val="%1."/>
      <w:lvlJc w:val="left"/>
      <w:pPr>
        <w:tabs>
          <w:tab w:val="num" w:pos="720"/>
        </w:tabs>
        <w:ind w:left="720" w:hanging="360"/>
      </w:pPr>
    </w:lvl>
    <w:lvl w:ilvl="1" w:tplc="3D34489E" w:tentative="1">
      <w:start w:val="1"/>
      <w:numFmt w:val="decimal"/>
      <w:lvlText w:val="%2."/>
      <w:lvlJc w:val="left"/>
      <w:pPr>
        <w:tabs>
          <w:tab w:val="num" w:pos="1440"/>
        </w:tabs>
        <w:ind w:left="1440" w:hanging="360"/>
      </w:pPr>
    </w:lvl>
    <w:lvl w:ilvl="2" w:tplc="26840D86" w:tentative="1">
      <w:start w:val="1"/>
      <w:numFmt w:val="decimal"/>
      <w:lvlText w:val="%3."/>
      <w:lvlJc w:val="left"/>
      <w:pPr>
        <w:tabs>
          <w:tab w:val="num" w:pos="2160"/>
        </w:tabs>
        <w:ind w:left="2160" w:hanging="360"/>
      </w:pPr>
    </w:lvl>
    <w:lvl w:ilvl="3" w:tplc="5248F116" w:tentative="1">
      <w:start w:val="1"/>
      <w:numFmt w:val="decimal"/>
      <w:lvlText w:val="%4."/>
      <w:lvlJc w:val="left"/>
      <w:pPr>
        <w:tabs>
          <w:tab w:val="num" w:pos="2880"/>
        </w:tabs>
        <w:ind w:left="2880" w:hanging="360"/>
      </w:pPr>
    </w:lvl>
    <w:lvl w:ilvl="4" w:tplc="60AC1C56" w:tentative="1">
      <w:start w:val="1"/>
      <w:numFmt w:val="decimal"/>
      <w:lvlText w:val="%5."/>
      <w:lvlJc w:val="left"/>
      <w:pPr>
        <w:tabs>
          <w:tab w:val="num" w:pos="3600"/>
        </w:tabs>
        <w:ind w:left="3600" w:hanging="360"/>
      </w:pPr>
    </w:lvl>
    <w:lvl w:ilvl="5" w:tplc="55809C1A" w:tentative="1">
      <w:start w:val="1"/>
      <w:numFmt w:val="decimal"/>
      <w:lvlText w:val="%6."/>
      <w:lvlJc w:val="left"/>
      <w:pPr>
        <w:tabs>
          <w:tab w:val="num" w:pos="4320"/>
        </w:tabs>
        <w:ind w:left="4320" w:hanging="360"/>
      </w:pPr>
    </w:lvl>
    <w:lvl w:ilvl="6" w:tplc="0F2C69DA" w:tentative="1">
      <w:start w:val="1"/>
      <w:numFmt w:val="decimal"/>
      <w:lvlText w:val="%7."/>
      <w:lvlJc w:val="left"/>
      <w:pPr>
        <w:tabs>
          <w:tab w:val="num" w:pos="5040"/>
        </w:tabs>
        <w:ind w:left="5040" w:hanging="360"/>
      </w:pPr>
    </w:lvl>
    <w:lvl w:ilvl="7" w:tplc="5E30D1F8" w:tentative="1">
      <w:start w:val="1"/>
      <w:numFmt w:val="decimal"/>
      <w:lvlText w:val="%8."/>
      <w:lvlJc w:val="left"/>
      <w:pPr>
        <w:tabs>
          <w:tab w:val="num" w:pos="5760"/>
        </w:tabs>
        <w:ind w:left="5760" w:hanging="360"/>
      </w:pPr>
    </w:lvl>
    <w:lvl w:ilvl="8" w:tplc="D3887F8E" w:tentative="1">
      <w:start w:val="1"/>
      <w:numFmt w:val="decimal"/>
      <w:lvlText w:val="%9."/>
      <w:lvlJc w:val="left"/>
      <w:pPr>
        <w:tabs>
          <w:tab w:val="num" w:pos="6480"/>
        </w:tabs>
        <w:ind w:left="6480" w:hanging="360"/>
      </w:pPr>
    </w:lvl>
  </w:abstractNum>
  <w:abstractNum w:abstractNumId="14" w15:restartNumberingAfterBreak="0">
    <w:nsid w:val="346C497F"/>
    <w:multiLevelType w:val="singleLevel"/>
    <w:tmpl w:val="8DE4EC0E"/>
    <w:lvl w:ilvl="0">
      <w:start w:val="1"/>
      <w:numFmt w:val="lowerLetter"/>
      <w:lvlText w:val="%1)"/>
      <w:lvlJc w:val="left"/>
      <w:pPr>
        <w:tabs>
          <w:tab w:val="num" w:pos="1875"/>
        </w:tabs>
        <w:ind w:left="1875" w:hanging="435"/>
      </w:pPr>
      <w:rPr>
        <w:rFonts w:hint="default"/>
      </w:rPr>
    </w:lvl>
  </w:abstractNum>
  <w:abstractNum w:abstractNumId="15" w15:restartNumberingAfterBreak="0">
    <w:nsid w:val="352227AB"/>
    <w:multiLevelType w:val="hybridMultilevel"/>
    <w:tmpl w:val="05A291D8"/>
    <w:lvl w:ilvl="0" w:tplc="D040C81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5291EC1"/>
    <w:multiLevelType w:val="hybridMultilevel"/>
    <w:tmpl w:val="07F8F5FE"/>
    <w:lvl w:ilvl="0" w:tplc="D5B2B3D2">
      <w:start w:val="1"/>
      <w:numFmt w:val="lowerLetter"/>
      <w:lvlText w:val="%1)"/>
      <w:lvlJc w:val="left"/>
      <w:pPr>
        <w:tabs>
          <w:tab w:val="num" w:pos="720"/>
        </w:tabs>
        <w:ind w:left="720" w:hanging="360"/>
      </w:pPr>
    </w:lvl>
    <w:lvl w:ilvl="1" w:tplc="0C848FF0" w:tentative="1">
      <w:start w:val="1"/>
      <w:numFmt w:val="lowerLetter"/>
      <w:lvlText w:val="%2)"/>
      <w:lvlJc w:val="left"/>
      <w:pPr>
        <w:tabs>
          <w:tab w:val="num" w:pos="1440"/>
        </w:tabs>
        <w:ind w:left="1440" w:hanging="360"/>
      </w:pPr>
    </w:lvl>
    <w:lvl w:ilvl="2" w:tplc="4E64AFA2" w:tentative="1">
      <w:start w:val="1"/>
      <w:numFmt w:val="lowerLetter"/>
      <w:lvlText w:val="%3)"/>
      <w:lvlJc w:val="left"/>
      <w:pPr>
        <w:tabs>
          <w:tab w:val="num" w:pos="2160"/>
        </w:tabs>
        <w:ind w:left="2160" w:hanging="360"/>
      </w:pPr>
    </w:lvl>
    <w:lvl w:ilvl="3" w:tplc="53A8D0BA" w:tentative="1">
      <w:start w:val="1"/>
      <w:numFmt w:val="lowerLetter"/>
      <w:lvlText w:val="%4)"/>
      <w:lvlJc w:val="left"/>
      <w:pPr>
        <w:tabs>
          <w:tab w:val="num" w:pos="2880"/>
        </w:tabs>
        <w:ind w:left="2880" w:hanging="360"/>
      </w:pPr>
    </w:lvl>
    <w:lvl w:ilvl="4" w:tplc="1C88E796" w:tentative="1">
      <w:start w:val="1"/>
      <w:numFmt w:val="lowerLetter"/>
      <w:lvlText w:val="%5)"/>
      <w:lvlJc w:val="left"/>
      <w:pPr>
        <w:tabs>
          <w:tab w:val="num" w:pos="3600"/>
        </w:tabs>
        <w:ind w:left="3600" w:hanging="360"/>
      </w:pPr>
    </w:lvl>
    <w:lvl w:ilvl="5" w:tplc="FC223430" w:tentative="1">
      <w:start w:val="1"/>
      <w:numFmt w:val="lowerLetter"/>
      <w:lvlText w:val="%6)"/>
      <w:lvlJc w:val="left"/>
      <w:pPr>
        <w:tabs>
          <w:tab w:val="num" w:pos="4320"/>
        </w:tabs>
        <w:ind w:left="4320" w:hanging="360"/>
      </w:pPr>
    </w:lvl>
    <w:lvl w:ilvl="6" w:tplc="95FA26A2" w:tentative="1">
      <w:start w:val="1"/>
      <w:numFmt w:val="lowerLetter"/>
      <w:lvlText w:val="%7)"/>
      <w:lvlJc w:val="left"/>
      <w:pPr>
        <w:tabs>
          <w:tab w:val="num" w:pos="5040"/>
        </w:tabs>
        <w:ind w:left="5040" w:hanging="360"/>
      </w:pPr>
    </w:lvl>
    <w:lvl w:ilvl="7" w:tplc="8AECE58C" w:tentative="1">
      <w:start w:val="1"/>
      <w:numFmt w:val="lowerLetter"/>
      <w:lvlText w:val="%8)"/>
      <w:lvlJc w:val="left"/>
      <w:pPr>
        <w:tabs>
          <w:tab w:val="num" w:pos="5760"/>
        </w:tabs>
        <w:ind w:left="5760" w:hanging="360"/>
      </w:pPr>
    </w:lvl>
    <w:lvl w:ilvl="8" w:tplc="C8BECBE6" w:tentative="1">
      <w:start w:val="1"/>
      <w:numFmt w:val="lowerLetter"/>
      <w:lvlText w:val="%9)"/>
      <w:lvlJc w:val="left"/>
      <w:pPr>
        <w:tabs>
          <w:tab w:val="num" w:pos="6480"/>
        </w:tabs>
        <w:ind w:left="6480" w:hanging="360"/>
      </w:pPr>
    </w:lvl>
  </w:abstractNum>
  <w:abstractNum w:abstractNumId="17" w15:restartNumberingAfterBreak="0">
    <w:nsid w:val="38961B08"/>
    <w:multiLevelType w:val="hybridMultilevel"/>
    <w:tmpl w:val="A6D8512E"/>
    <w:lvl w:ilvl="0" w:tplc="A80C525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8" w15:restartNumberingAfterBreak="0">
    <w:nsid w:val="3DBA5039"/>
    <w:multiLevelType w:val="hybridMultilevel"/>
    <w:tmpl w:val="A51A71FE"/>
    <w:lvl w:ilvl="0" w:tplc="3642F61E">
      <w:start w:val="1"/>
      <w:numFmt w:val="upp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9" w15:restartNumberingAfterBreak="0">
    <w:nsid w:val="410A5B76"/>
    <w:multiLevelType w:val="hybridMultilevel"/>
    <w:tmpl w:val="F7EA76BC"/>
    <w:lvl w:ilvl="0" w:tplc="7EA29D74">
      <w:start w:val="1"/>
      <w:numFmt w:val="bullet"/>
      <w:lvlText w:val="-"/>
      <w:lvlJc w:val="left"/>
      <w:pPr>
        <w:tabs>
          <w:tab w:val="num" w:pos="720"/>
        </w:tabs>
        <w:ind w:left="720" w:hanging="360"/>
      </w:pPr>
      <w:rPr>
        <w:rFonts w:ascii="Times New Roman" w:hAnsi="Times New Roman" w:hint="default"/>
      </w:rPr>
    </w:lvl>
    <w:lvl w:ilvl="1" w:tplc="F1A84FF4" w:tentative="1">
      <w:start w:val="1"/>
      <w:numFmt w:val="bullet"/>
      <w:lvlText w:val="-"/>
      <w:lvlJc w:val="left"/>
      <w:pPr>
        <w:tabs>
          <w:tab w:val="num" w:pos="1440"/>
        </w:tabs>
        <w:ind w:left="1440" w:hanging="360"/>
      </w:pPr>
      <w:rPr>
        <w:rFonts w:ascii="Times New Roman" w:hAnsi="Times New Roman" w:hint="default"/>
      </w:rPr>
    </w:lvl>
    <w:lvl w:ilvl="2" w:tplc="DC82F81C" w:tentative="1">
      <w:start w:val="1"/>
      <w:numFmt w:val="bullet"/>
      <w:lvlText w:val="-"/>
      <w:lvlJc w:val="left"/>
      <w:pPr>
        <w:tabs>
          <w:tab w:val="num" w:pos="2160"/>
        </w:tabs>
        <w:ind w:left="2160" w:hanging="360"/>
      </w:pPr>
      <w:rPr>
        <w:rFonts w:ascii="Times New Roman" w:hAnsi="Times New Roman" w:hint="default"/>
      </w:rPr>
    </w:lvl>
    <w:lvl w:ilvl="3" w:tplc="096E10E8" w:tentative="1">
      <w:start w:val="1"/>
      <w:numFmt w:val="bullet"/>
      <w:lvlText w:val="-"/>
      <w:lvlJc w:val="left"/>
      <w:pPr>
        <w:tabs>
          <w:tab w:val="num" w:pos="2880"/>
        </w:tabs>
        <w:ind w:left="2880" w:hanging="360"/>
      </w:pPr>
      <w:rPr>
        <w:rFonts w:ascii="Times New Roman" w:hAnsi="Times New Roman" w:hint="default"/>
      </w:rPr>
    </w:lvl>
    <w:lvl w:ilvl="4" w:tplc="ED824F0E" w:tentative="1">
      <w:start w:val="1"/>
      <w:numFmt w:val="bullet"/>
      <w:lvlText w:val="-"/>
      <w:lvlJc w:val="left"/>
      <w:pPr>
        <w:tabs>
          <w:tab w:val="num" w:pos="3600"/>
        </w:tabs>
        <w:ind w:left="3600" w:hanging="360"/>
      </w:pPr>
      <w:rPr>
        <w:rFonts w:ascii="Times New Roman" w:hAnsi="Times New Roman" w:hint="default"/>
      </w:rPr>
    </w:lvl>
    <w:lvl w:ilvl="5" w:tplc="362226C4" w:tentative="1">
      <w:start w:val="1"/>
      <w:numFmt w:val="bullet"/>
      <w:lvlText w:val="-"/>
      <w:lvlJc w:val="left"/>
      <w:pPr>
        <w:tabs>
          <w:tab w:val="num" w:pos="4320"/>
        </w:tabs>
        <w:ind w:left="4320" w:hanging="360"/>
      </w:pPr>
      <w:rPr>
        <w:rFonts w:ascii="Times New Roman" w:hAnsi="Times New Roman" w:hint="default"/>
      </w:rPr>
    </w:lvl>
    <w:lvl w:ilvl="6" w:tplc="A8F8E24A" w:tentative="1">
      <w:start w:val="1"/>
      <w:numFmt w:val="bullet"/>
      <w:lvlText w:val="-"/>
      <w:lvlJc w:val="left"/>
      <w:pPr>
        <w:tabs>
          <w:tab w:val="num" w:pos="5040"/>
        </w:tabs>
        <w:ind w:left="5040" w:hanging="360"/>
      </w:pPr>
      <w:rPr>
        <w:rFonts w:ascii="Times New Roman" w:hAnsi="Times New Roman" w:hint="default"/>
      </w:rPr>
    </w:lvl>
    <w:lvl w:ilvl="7" w:tplc="E6CA56D0" w:tentative="1">
      <w:start w:val="1"/>
      <w:numFmt w:val="bullet"/>
      <w:lvlText w:val="-"/>
      <w:lvlJc w:val="left"/>
      <w:pPr>
        <w:tabs>
          <w:tab w:val="num" w:pos="5760"/>
        </w:tabs>
        <w:ind w:left="5760" w:hanging="360"/>
      </w:pPr>
      <w:rPr>
        <w:rFonts w:ascii="Times New Roman" w:hAnsi="Times New Roman" w:hint="default"/>
      </w:rPr>
    </w:lvl>
    <w:lvl w:ilvl="8" w:tplc="CB18FFB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1DA08EA"/>
    <w:multiLevelType w:val="hybridMultilevel"/>
    <w:tmpl w:val="450098D2"/>
    <w:lvl w:ilvl="0" w:tplc="2172951A">
      <w:start w:val="1"/>
      <w:numFmt w:val="decimal"/>
      <w:lvlText w:val="%1."/>
      <w:lvlJc w:val="left"/>
      <w:pPr>
        <w:tabs>
          <w:tab w:val="num" w:pos="360"/>
        </w:tabs>
        <w:ind w:left="360" w:hanging="360"/>
      </w:pPr>
    </w:lvl>
    <w:lvl w:ilvl="1" w:tplc="7D186622" w:tentative="1">
      <w:start w:val="1"/>
      <w:numFmt w:val="decimal"/>
      <w:lvlText w:val="%2."/>
      <w:lvlJc w:val="left"/>
      <w:pPr>
        <w:tabs>
          <w:tab w:val="num" w:pos="1440"/>
        </w:tabs>
        <w:ind w:left="1440" w:hanging="360"/>
      </w:pPr>
    </w:lvl>
    <w:lvl w:ilvl="2" w:tplc="A150225C" w:tentative="1">
      <w:start w:val="1"/>
      <w:numFmt w:val="decimal"/>
      <w:lvlText w:val="%3."/>
      <w:lvlJc w:val="left"/>
      <w:pPr>
        <w:tabs>
          <w:tab w:val="num" w:pos="2160"/>
        </w:tabs>
        <w:ind w:left="2160" w:hanging="360"/>
      </w:pPr>
    </w:lvl>
    <w:lvl w:ilvl="3" w:tplc="76005ECC" w:tentative="1">
      <w:start w:val="1"/>
      <w:numFmt w:val="decimal"/>
      <w:lvlText w:val="%4."/>
      <w:lvlJc w:val="left"/>
      <w:pPr>
        <w:tabs>
          <w:tab w:val="num" w:pos="2880"/>
        </w:tabs>
        <w:ind w:left="2880" w:hanging="360"/>
      </w:pPr>
    </w:lvl>
    <w:lvl w:ilvl="4" w:tplc="2258FF44" w:tentative="1">
      <w:start w:val="1"/>
      <w:numFmt w:val="decimal"/>
      <w:lvlText w:val="%5."/>
      <w:lvlJc w:val="left"/>
      <w:pPr>
        <w:tabs>
          <w:tab w:val="num" w:pos="3600"/>
        </w:tabs>
        <w:ind w:left="3600" w:hanging="360"/>
      </w:pPr>
    </w:lvl>
    <w:lvl w:ilvl="5" w:tplc="733E9764" w:tentative="1">
      <w:start w:val="1"/>
      <w:numFmt w:val="decimal"/>
      <w:lvlText w:val="%6."/>
      <w:lvlJc w:val="left"/>
      <w:pPr>
        <w:tabs>
          <w:tab w:val="num" w:pos="4320"/>
        </w:tabs>
        <w:ind w:left="4320" w:hanging="360"/>
      </w:pPr>
    </w:lvl>
    <w:lvl w:ilvl="6" w:tplc="701430AA" w:tentative="1">
      <w:start w:val="1"/>
      <w:numFmt w:val="decimal"/>
      <w:lvlText w:val="%7."/>
      <w:lvlJc w:val="left"/>
      <w:pPr>
        <w:tabs>
          <w:tab w:val="num" w:pos="5040"/>
        </w:tabs>
        <w:ind w:left="5040" w:hanging="360"/>
      </w:pPr>
    </w:lvl>
    <w:lvl w:ilvl="7" w:tplc="3EA22B70" w:tentative="1">
      <w:start w:val="1"/>
      <w:numFmt w:val="decimal"/>
      <w:lvlText w:val="%8."/>
      <w:lvlJc w:val="left"/>
      <w:pPr>
        <w:tabs>
          <w:tab w:val="num" w:pos="5760"/>
        </w:tabs>
        <w:ind w:left="5760" w:hanging="360"/>
      </w:pPr>
    </w:lvl>
    <w:lvl w:ilvl="8" w:tplc="BB0EA580" w:tentative="1">
      <w:start w:val="1"/>
      <w:numFmt w:val="decimal"/>
      <w:lvlText w:val="%9."/>
      <w:lvlJc w:val="left"/>
      <w:pPr>
        <w:tabs>
          <w:tab w:val="num" w:pos="6480"/>
        </w:tabs>
        <w:ind w:left="6480" w:hanging="360"/>
      </w:pPr>
    </w:lvl>
  </w:abstractNum>
  <w:abstractNum w:abstractNumId="21" w15:restartNumberingAfterBreak="0">
    <w:nsid w:val="459F2F7A"/>
    <w:multiLevelType w:val="hybridMultilevel"/>
    <w:tmpl w:val="C332D782"/>
    <w:lvl w:ilvl="0" w:tplc="2350256A">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EA960D3"/>
    <w:multiLevelType w:val="hybridMultilevel"/>
    <w:tmpl w:val="B07643B8"/>
    <w:lvl w:ilvl="0" w:tplc="58AC1184">
      <w:start w:val="1"/>
      <w:numFmt w:val="decimal"/>
      <w:lvlText w:val="%1)"/>
      <w:lvlJc w:val="left"/>
      <w:pPr>
        <w:tabs>
          <w:tab w:val="num" w:pos="720"/>
        </w:tabs>
        <w:ind w:left="720" w:hanging="360"/>
      </w:pPr>
    </w:lvl>
    <w:lvl w:ilvl="1" w:tplc="6EF2CDFA">
      <w:start w:val="1"/>
      <w:numFmt w:val="decimal"/>
      <w:lvlText w:val="%2)"/>
      <w:lvlJc w:val="left"/>
      <w:pPr>
        <w:tabs>
          <w:tab w:val="num" w:pos="1440"/>
        </w:tabs>
        <w:ind w:left="1440" w:hanging="360"/>
      </w:pPr>
    </w:lvl>
    <w:lvl w:ilvl="2" w:tplc="AA3C5CC0">
      <w:start w:val="1"/>
      <w:numFmt w:val="decimal"/>
      <w:lvlText w:val="%3)"/>
      <w:lvlJc w:val="left"/>
      <w:pPr>
        <w:tabs>
          <w:tab w:val="num" w:pos="2160"/>
        </w:tabs>
        <w:ind w:left="2160" w:hanging="360"/>
      </w:pPr>
    </w:lvl>
    <w:lvl w:ilvl="3" w:tplc="9EE4F882">
      <w:start w:val="1"/>
      <w:numFmt w:val="decimal"/>
      <w:lvlText w:val="%4)"/>
      <w:lvlJc w:val="left"/>
      <w:pPr>
        <w:tabs>
          <w:tab w:val="num" w:pos="2880"/>
        </w:tabs>
        <w:ind w:left="2880" w:hanging="360"/>
      </w:pPr>
    </w:lvl>
    <w:lvl w:ilvl="4" w:tplc="3B4AEC88">
      <w:start w:val="1"/>
      <w:numFmt w:val="decimal"/>
      <w:lvlText w:val="%5)"/>
      <w:lvlJc w:val="left"/>
      <w:pPr>
        <w:tabs>
          <w:tab w:val="num" w:pos="3600"/>
        </w:tabs>
        <w:ind w:left="3600" w:hanging="360"/>
      </w:pPr>
    </w:lvl>
    <w:lvl w:ilvl="5" w:tplc="DDBE781A">
      <w:start w:val="1"/>
      <w:numFmt w:val="decimal"/>
      <w:lvlText w:val="%6)"/>
      <w:lvlJc w:val="left"/>
      <w:pPr>
        <w:tabs>
          <w:tab w:val="num" w:pos="4320"/>
        </w:tabs>
        <w:ind w:left="4320" w:hanging="360"/>
      </w:pPr>
    </w:lvl>
    <w:lvl w:ilvl="6" w:tplc="07D0FB1A">
      <w:start w:val="1"/>
      <w:numFmt w:val="decimal"/>
      <w:lvlText w:val="%7)"/>
      <w:lvlJc w:val="left"/>
      <w:pPr>
        <w:tabs>
          <w:tab w:val="num" w:pos="5040"/>
        </w:tabs>
        <w:ind w:left="5040" w:hanging="360"/>
      </w:pPr>
    </w:lvl>
    <w:lvl w:ilvl="7" w:tplc="A6CC64B6">
      <w:start w:val="1"/>
      <w:numFmt w:val="decimal"/>
      <w:lvlText w:val="%8)"/>
      <w:lvlJc w:val="left"/>
      <w:pPr>
        <w:tabs>
          <w:tab w:val="num" w:pos="5760"/>
        </w:tabs>
        <w:ind w:left="5760" w:hanging="360"/>
      </w:pPr>
    </w:lvl>
    <w:lvl w:ilvl="8" w:tplc="F9FCEB1A">
      <w:start w:val="1"/>
      <w:numFmt w:val="decimal"/>
      <w:lvlText w:val="%9)"/>
      <w:lvlJc w:val="left"/>
      <w:pPr>
        <w:tabs>
          <w:tab w:val="num" w:pos="6480"/>
        </w:tabs>
        <w:ind w:left="6480" w:hanging="360"/>
      </w:pPr>
    </w:lvl>
  </w:abstractNum>
  <w:abstractNum w:abstractNumId="23" w15:restartNumberingAfterBreak="0">
    <w:nsid w:val="507853BB"/>
    <w:multiLevelType w:val="hybridMultilevel"/>
    <w:tmpl w:val="E45C5236"/>
    <w:lvl w:ilvl="0" w:tplc="6926665A">
      <w:start w:val="1"/>
      <w:numFmt w:val="lowerLetter"/>
      <w:lvlText w:val="%1)"/>
      <w:lvlJc w:val="left"/>
      <w:pPr>
        <w:tabs>
          <w:tab w:val="num" w:pos="360"/>
        </w:tabs>
        <w:ind w:left="360" w:hanging="360"/>
      </w:pPr>
    </w:lvl>
    <w:lvl w:ilvl="1" w:tplc="FE48A11C" w:tentative="1">
      <w:start w:val="1"/>
      <w:numFmt w:val="lowerLetter"/>
      <w:lvlText w:val="%2)"/>
      <w:lvlJc w:val="left"/>
      <w:pPr>
        <w:tabs>
          <w:tab w:val="num" w:pos="1080"/>
        </w:tabs>
        <w:ind w:left="1080" w:hanging="360"/>
      </w:pPr>
    </w:lvl>
    <w:lvl w:ilvl="2" w:tplc="30E8B240" w:tentative="1">
      <w:start w:val="1"/>
      <w:numFmt w:val="lowerLetter"/>
      <w:lvlText w:val="%3)"/>
      <w:lvlJc w:val="left"/>
      <w:pPr>
        <w:tabs>
          <w:tab w:val="num" w:pos="1800"/>
        </w:tabs>
        <w:ind w:left="1800" w:hanging="360"/>
      </w:pPr>
    </w:lvl>
    <w:lvl w:ilvl="3" w:tplc="E1A29368" w:tentative="1">
      <w:start w:val="1"/>
      <w:numFmt w:val="lowerLetter"/>
      <w:lvlText w:val="%4)"/>
      <w:lvlJc w:val="left"/>
      <w:pPr>
        <w:tabs>
          <w:tab w:val="num" w:pos="2520"/>
        </w:tabs>
        <w:ind w:left="2520" w:hanging="360"/>
      </w:pPr>
    </w:lvl>
    <w:lvl w:ilvl="4" w:tplc="6588918C" w:tentative="1">
      <w:start w:val="1"/>
      <w:numFmt w:val="lowerLetter"/>
      <w:lvlText w:val="%5)"/>
      <w:lvlJc w:val="left"/>
      <w:pPr>
        <w:tabs>
          <w:tab w:val="num" w:pos="3240"/>
        </w:tabs>
        <w:ind w:left="3240" w:hanging="360"/>
      </w:pPr>
    </w:lvl>
    <w:lvl w:ilvl="5" w:tplc="0B643BD6" w:tentative="1">
      <w:start w:val="1"/>
      <w:numFmt w:val="lowerLetter"/>
      <w:lvlText w:val="%6)"/>
      <w:lvlJc w:val="left"/>
      <w:pPr>
        <w:tabs>
          <w:tab w:val="num" w:pos="3960"/>
        </w:tabs>
        <w:ind w:left="3960" w:hanging="360"/>
      </w:pPr>
    </w:lvl>
    <w:lvl w:ilvl="6" w:tplc="EDC4F936" w:tentative="1">
      <w:start w:val="1"/>
      <w:numFmt w:val="lowerLetter"/>
      <w:lvlText w:val="%7)"/>
      <w:lvlJc w:val="left"/>
      <w:pPr>
        <w:tabs>
          <w:tab w:val="num" w:pos="4680"/>
        </w:tabs>
        <w:ind w:left="4680" w:hanging="360"/>
      </w:pPr>
    </w:lvl>
    <w:lvl w:ilvl="7" w:tplc="56D4777A" w:tentative="1">
      <w:start w:val="1"/>
      <w:numFmt w:val="lowerLetter"/>
      <w:lvlText w:val="%8)"/>
      <w:lvlJc w:val="left"/>
      <w:pPr>
        <w:tabs>
          <w:tab w:val="num" w:pos="5400"/>
        </w:tabs>
        <w:ind w:left="5400" w:hanging="360"/>
      </w:pPr>
    </w:lvl>
    <w:lvl w:ilvl="8" w:tplc="1C78834A" w:tentative="1">
      <w:start w:val="1"/>
      <w:numFmt w:val="lowerLetter"/>
      <w:lvlText w:val="%9)"/>
      <w:lvlJc w:val="left"/>
      <w:pPr>
        <w:tabs>
          <w:tab w:val="num" w:pos="6120"/>
        </w:tabs>
        <w:ind w:left="6120" w:hanging="360"/>
      </w:pPr>
    </w:lvl>
  </w:abstractNum>
  <w:abstractNum w:abstractNumId="24" w15:restartNumberingAfterBreak="0">
    <w:nsid w:val="511F5CB1"/>
    <w:multiLevelType w:val="hybridMultilevel"/>
    <w:tmpl w:val="8BB4DC6A"/>
    <w:lvl w:ilvl="0" w:tplc="53E4EBF4">
      <w:start w:val="1"/>
      <w:numFmt w:val="bullet"/>
      <w:lvlText w:val="•"/>
      <w:lvlJc w:val="left"/>
      <w:pPr>
        <w:tabs>
          <w:tab w:val="num" w:pos="720"/>
        </w:tabs>
        <w:ind w:left="720" w:hanging="360"/>
      </w:pPr>
      <w:rPr>
        <w:rFonts w:ascii="Arial" w:hAnsi="Arial" w:hint="default"/>
      </w:rPr>
    </w:lvl>
    <w:lvl w:ilvl="1" w:tplc="6F962C88" w:tentative="1">
      <w:start w:val="1"/>
      <w:numFmt w:val="bullet"/>
      <w:lvlText w:val="•"/>
      <w:lvlJc w:val="left"/>
      <w:pPr>
        <w:tabs>
          <w:tab w:val="num" w:pos="1440"/>
        </w:tabs>
        <w:ind w:left="1440" w:hanging="360"/>
      </w:pPr>
      <w:rPr>
        <w:rFonts w:ascii="Arial" w:hAnsi="Arial" w:hint="default"/>
      </w:rPr>
    </w:lvl>
    <w:lvl w:ilvl="2" w:tplc="C9E86C98" w:tentative="1">
      <w:start w:val="1"/>
      <w:numFmt w:val="bullet"/>
      <w:lvlText w:val="•"/>
      <w:lvlJc w:val="left"/>
      <w:pPr>
        <w:tabs>
          <w:tab w:val="num" w:pos="2160"/>
        </w:tabs>
        <w:ind w:left="2160" w:hanging="360"/>
      </w:pPr>
      <w:rPr>
        <w:rFonts w:ascii="Arial" w:hAnsi="Arial" w:hint="default"/>
      </w:rPr>
    </w:lvl>
    <w:lvl w:ilvl="3" w:tplc="8054B268" w:tentative="1">
      <w:start w:val="1"/>
      <w:numFmt w:val="bullet"/>
      <w:lvlText w:val="•"/>
      <w:lvlJc w:val="left"/>
      <w:pPr>
        <w:tabs>
          <w:tab w:val="num" w:pos="2880"/>
        </w:tabs>
        <w:ind w:left="2880" w:hanging="360"/>
      </w:pPr>
      <w:rPr>
        <w:rFonts w:ascii="Arial" w:hAnsi="Arial" w:hint="default"/>
      </w:rPr>
    </w:lvl>
    <w:lvl w:ilvl="4" w:tplc="DF7C1A6C" w:tentative="1">
      <w:start w:val="1"/>
      <w:numFmt w:val="bullet"/>
      <w:lvlText w:val="•"/>
      <w:lvlJc w:val="left"/>
      <w:pPr>
        <w:tabs>
          <w:tab w:val="num" w:pos="3600"/>
        </w:tabs>
        <w:ind w:left="3600" w:hanging="360"/>
      </w:pPr>
      <w:rPr>
        <w:rFonts w:ascii="Arial" w:hAnsi="Arial" w:hint="default"/>
      </w:rPr>
    </w:lvl>
    <w:lvl w:ilvl="5" w:tplc="238AC218" w:tentative="1">
      <w:start w:val="1"/>
      <w:numFmt w:val="bullet"/>
      <w:lvlText w:val="•"/>
      <w:lvlJc w:val="left"/>
      <w:pPr>
        <w:tabs>
          <w:tab w:val="num" w:pos="4320"/>
        </w:tabs>
        <w:ind w:left="4320" w:hanging="360"/>
      </w:pPr>
      <w:rPr>
        <w:rFonts w:ascii="Arial" w:hAnsi="Arial" w:hint="default"/>
      </w:rPr>
    </w:lvl>
    <w:lvl w:ilvl="6" w:tplc="B2B66024" w:tentative="1">
      <w:start w:val="1"/>
      <w:numFmt w:val="bullet"/>
      <w:lvlText w:val="•"/>
      <w:lvlJc w:val="left"/>
      <w:pPr>
        <w:tabs>
          <w:tab w:val="num" w:pos="5040"/>
        </w:tabs>
        <w:ind w:left="5040" w:hanging="360"/>
      </w:pPr>
      <w:rPr>
        <w:rFonts w:ascii="Arial" w:hAnsi="Arial" w:hint="default"/>
      </w:rPr>
    </w:lvl>
    <w:lvl w:ilvl="7" w:tplc="C1B48F64" w:tentative="1">
      <w:start w:val="1"/>
      <w:numFmt w:val="bullet"/>
      <w:lvlText w:val="•"/>
      <w:lvlJc w:val="left"/>
      <w:pPr>
        <w:tabs>
          <w:tab w:val="num" w:pos="5760"/>
        </w:tabs>
        <w:ind w:left="5760" w:hanging="360"/>
      </w:pPr>
      <w:rPr>
        <w:rFonts w:ascii="Arial" w:hAnsi="Arial" w:hint="default"/>
      </w:rPr>
    </w:lvl>
    <w:lvl w:ilvl="8" w:tplc="75D627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842C48"/>
    <w:multiLevelType w:val="hybridMultilevel"/>
    <w:tmpl w:val="32BA7A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7F0636E"/>
    <w:multiLevelType w:val="hybridMultilevel"/>
    <w:tmpl w:val="1A00BD44"/>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15:restartNumberingAfterBreak="0">
    <w:nsid w:val="5BF456DE"/>
    <w:multiLevelType w:val="hybridMultilevel"/>
    <w:tmpl w:val="AF920A8E"/>
    <w:lvl w:ilvl="0" w:tplc="A37681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6424002"/>
    <w:multiLevelType w:val="hybridMultilevel"/>
    <w:tmpl w:val="848ED7C4"/>
    <w:lvl w:ilvl="0" w:tplc="0416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CE30572"/>
    <w:multiLevelType w:val="hybridMultilevel"/>
    <w:tmpl w:val="280E2930"/>
    <w:lvl w:ilvl="0" w:tplc="A00800E6">
      <w:start w:val="22"/>
      <w:numFmt w:val="decimal"/>
      <w:lvlText w:val="%1."/>
      <w:lvlJc w:val="left"/>
      <w:pPr>
        <w:tabs>
          <w:tab w:val="num" w:pos="720"/>
        </w:tabs>
        <w:ind w:left="720" w:hanging="360"/>
      </w:pPr>
    </w:lvl>
    <w:lvl w:ilvl="1" w:tplc="BD4C7D28" w:tentative="1">
      <w:start w:val="1"/>
      <w:numFmt w:val="decimal"/>
      <w:lvlText w:val="%2."/>
      <w:lvlJc w:val="left"/>
      <w:pPr>
        <w:tabs>
          <w:tab w:val="num" w:pos="1440"/>
        </w:tabs>
        <w:ind w:left="1440" w:hanging="360"/>
      </w:pPr>
    </w:lvl>
    <w:lvl w:ilvl="2" w:tplc="CC149006" w:tentative="1">
      <w:start w:val="1"/>
      <w:numFmt w:val="decimal"/>
      <w:lvlText w:val="%3."/>
      <w:lvlJc w:val="left"/>
      <w:pPr>
        <w:tabs>
          <w:tab w:val="num" w:pos="2160"/>
        </w:tabs>
        <w:ind w:left="2160" w:hanging="360"/>
      </w:pPr>
    </w:lvl>
    <w:lvl w:ilvl="3" w:tplc="E22066DC" w:tentative="1">
      <w:start w:val="1"/>
      <w:numFmt w:val="decimal"/>
      <w:lvlText w:val="%4."/>
      <w:lvlJc w:val="left"/>
      <w:pPr>
        <w:tabs>
          <w:tab w:val="num" w:pos="2880"/>
        </w:tabs>
        <w:ind w:left="2880" w:hanging="360"/>
      </w:pPr>
    </w:lvl>
    <w:lvl w:ilvl="4" w:tplc="930A6A1E" w:tentative="1">
      <w:start w:val="1"/>
      <w:numFmt w:val="decimal"/>
      <w:lvlText w:val="%5."/>
      <w:lvlJc w:val="left"/>
      <w:pPr>
        <w:tabs>
          <w:tab w:val="num" w:pos="3600"/>
        </w:tabs>
        <w:ind w:left="3600" w:hanging="360"/>
      </w:pPr>
    </w:lvl>
    <w:lvl w:ilvl="5" w:tplc="5C4C5F18" w:tentative="1">
      <w:start w:val="1"/>
      <w:numFmt w:val="decimal"/>
      <w:lvlText w:val="%6."/>
      <w:lvlJc w:val="left"/>
      <w:pPr>
        <w:tabs>
          <w:tab w:val="num" w:pos="4320"/>
        </w:tabs>
        <w:ind w:left="4320" w:hanging="360"/>
      </w:pPr>
    </w:lvl>
    <w:lvl w:ilvl="6" w:tplc="ADE84A96" w:tentative="1">
      <w:start w:val="1"/>
      <w:numFmt w:val="decimal"/>
      <w:lvlText w:val="%7."/>
      <w:lvlJc w:val="left"/>
      <w:pPr>
        <w:tabs>
          <w:tab w:val="num" w:pos="5040"/>
        </w:tabs>
        <w:ind w:left="5040" w:hanging="360"/>
      </w:pPr>
    </w:lvl>
    <w:lvl w:ilvl="7" w:tplc="D5ACE33E" w:tentative="1">
      <w:start w:val="1"/>
      <w:numFmt w:val="decimal"/>
      <w:lvlText w:val="%8."/>
      <w:lvlJc w:val="left"/>
      <w:pPr>
        <w:tabs>
          <w:tab w:val="num" w:pos="5760"/>
        </w:tabs>
        <w:ind w:left="5760" w:hanging="360"/>
      </w:pPr>
    </w:lvl>
    <w:lvl w:ilvl="8" w:tplc="547A416C" w:tentative="1">
      <w:start w:val="1"/>
      <w:numFmt w:val="decimal"/>
      <w:lvlText w:val="%9."/>
      <w:lvlJc w:val="left"/>
      <w:pPr>
        <w:tabs>
          <w:tab w:val="num" w:pos="6480"/>
        </w:tabs>
        <w:ind w:left="6480" w:hanging="360"/>
      </w:pPr>
    </w:lvl>
  </w:abstractNum>
  <w:abstractNum w:abstractNumId="30" w15:restartNumberingAfterBreak="0">
    <w:nsid w:val="72241075"/>
    <w:multiLevelType w:val="hybridMultilevel"/>
    <w:tmpl w:val="F45C284C"/>
    <w:lvl w:ilvl="0" w:tplc="70F613D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15:restartNumberingAfterBreak="0">
    <w:nsid w:val="72546240"/>
    <w:multiLevelType w:val="hybridMultilevel"/>
    <w:tmpl w:val="AA4E22E8"/>
    <w:lvl w:ilvl="0" w:tplc="412A7568">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32" w15:restartNumberingAfterBreak="0">
    <w:nsid w:val="743F5611"/>
    <w:multiLevelType w:val="hybridMultilevel"/>
    <w:tmpl w:val="159A3668"/>
    <w:lvl w:ilvl="0" w:tplc="9580E9C4">
      <w:start w:val="1"/>
      <w:numFmt w:val="lowerLetter"/>
      <w:lvlText w:val="%1)"/>
      <w:lvlJc w:val="left"/>
      <w:pPr>
        <w:tabs>
          <w:tab w:val="num" w:pos="720"/>
        </w:tabs>
        <w:ind w:left="720" w:hanging="360"/>
      </w:pPr>
    </w:lvl>
    <w:lvl w:ilvl="1" w:tplc="CA584F36" w:tentative="1">
      <w:start w:val="1"/>
      <w:numFmt w:val="lowerLetter"/>
      <w:lvlText w:val="%2)"/>
      <w:lvlJc w:val="left"/>
      <w:pPr>
        <w:tabs>
          <w:tab w:val="num" w:pos="1440"/>
        </w:tabs>
        <w:ind w:left="1440" w:hanging="360"/>
      </w:pPr>
    </w:lvl>
    <w:lvl w:ilvl="2" w:tplc="45901892" w:tentative="1">
      <w:start w:val="1"/>
      <w:numFmt w:val="lowerLetter"/>
      <w:lvlText w:val="%3)"/>
      <w:lvlJc w:val="left"/>
      <w:pPr>
        <w:tabs>
          <w:tab w:val="num" w:pos="2160"/>
        </w:tabs>
        <w:ind w:left="2160" w:hanging="360"/>
      </w:pPr>
    </w:lvl>
    <w:lvl w:ilvl="3" w:tplc="ED28C816" w:tentative="1">
      <w:start w:val="1"/>
      <w:numFmt w:val="lowerLetter"/>
      <w:lvlText w:val="%4)"/>
      <w:lvlJc w:val="left"/>
      <w:pPr>
        <w:tabs>
          <w:tab w:val="num" w:pos="2880"/>
        </w:tabs>
        <w:ind w:left="2880" w:hanging="360"/>
      </w:pPr>
    </w:lvl>
    <w:lvl w:ilvl="4" w:tplc="73AC2034" w:tentative="1">
      <w:start w:val="1"/>
      <w:numFmt w:val="lowerLetter"/>
      <w:lvlText w:val="%5)"/>
      <w:lvlJc w:val="left"/>
      <w:pPr>
        <w:tabs>
          <w:tab w:val="num" w:pos="3600"/>
        </w:tabs>
        <w:ind w:left="3600" w:hanging="360"/>
      </w:pPr>
    </w:lvl>
    <w:lvl w:ilvl="5" w:tplc="F5CAFB80" w:tentative="1">
      <w:start w:val="1"/>
      <w:numFmt w:val="lowerLetter"/>
      <w:lvlText w:val="%6)"/>
      <w:lvlJc w:val="left"/>
      <w:pPr>
        <w:tabs>
          <w:tab w:val="num" w:pos="4320"/>
        </w:tabs>
        <w:ind w:left="4320" w:hanging="360"/>
      </w:pPr>
    </w:lvl>
    <w:lvl w:ilvl="6" w:tplc="0AB28AAA" w:tentative="1">
      <w:start w:val="1"/>
      <w:numFmt w:val="lowerLetter"/>
      <w:lvlText w:val="%7)"/>
      <w:lvlJc w:val="left"/>
      <w:pPr>
        <w:tabs>
          <w:tab w:val="num" w:pos="5040"/>
        </w:tabs>
        <w:ind w:left="5040" w:hanging="360"/>
      </w:pPr>
    </w:lvl>
    <w:lvl w:ilvl="7" w:tplc="1780062A" w:tentative="1">
      <w:start w:val="1"/>
      <w:numFmt w:val="lowerLetter"/>
      <w:lvlText w:val="%8)"/>
      <w:lvlJc w:val="left"/>
      <w:pPr>
        <w:tabs>
          <w:tab w:val="num" w:pos="5760"/>
        </w:tabs>
        <w:ind w:left="5760" w:hanging="360"/>
      </w:pPr>
    </w:lvl>
    <w:lvl w:ilvl="8" w:tplc="B932324A" w:tentative="1">
      <w:start w:val="1"/>
      <w:numFmt w:val="lowerLetter"/>
      <w:lvlText w:val="%9)"/>
      <w:lvlJc w:val="left"/>
      <w:pPr>
        <w:tabs>
          <w:tab w:val="num" w:pos="6480"/>
        </w:tabs>
        <w:ind w:left="6480" w:hanging="360"/>
      </w:pPr>
    </w:lvl>
  </w:abstractNum>
  <w:abstractNum w:abstractNumId="33" w15:restartNumberingAfterBreak="0">
    <w:nsid w:val="77694519"/>
    <w:multiLevelType w:val="multilevel"/>
    <w:tmpl w:val="177C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446B47"/>
    <w:multiLevelType w:val="hybridMultilevel"/>
    <w:tmpl w:val="938E2D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7"/>
  </w:num>
  <w:num w:numId="5">
    <w:abstractNumId w:val="31"/>
  </w:num>
  <w:num w:numId="6">
    <w:abstractNumId w:val="5"/>
  </w:num>
  <w:num w:numId="7">
    <w:abstractNumId w:val="30"/>
  </w:num>
  <w:num w:numId="8">
    <w:abstractNumId w:val="0"/>
  </w:num>
  <w:num w:numId="9">
    <w:abstractNumId w:val="2"/>
  </w:num>
  <w:num w:numId="10">
    <w:abstractNumId w:val="18"/>
  </w:num>
  <w:num w:numId="11">
    <w:abstractNumId w:val="17"/>
  </w:num>
  <w:num w:numId="12">
    <w:abstractNumId w:val="34"/>
  </w:num>
  <w:num w:numId="13">
    <w:abstractNumId w:val="3"/>
  </w:num>
  <w:num w:numId="14">
    <w:abstractNumId w:val="21"/>
  </w:num>
  <w:num w:numId="15">
    <w:abstractNumId w:val="12"/>
  </w:num>
  <w:num w:numId="16">
    <w:abstractNumId w:val="23"/>
  </w:num>
  <w:num w:numId="17">
    <w:abstractNumId w:val="20"/>
  </w:num>
  <w:num w:numId="18">
    <w:abstractNumId w:val="4"/>
  </w:num>
  <w:num w:numId="19">
    <w:abstractNumId w:val="11"/>
  </w:num>
  <w:num w:numId="20">
    <w:abstractNumId w:val="24"/>
  </w:num>
  <w:num w:numId="21">
    <w:abstractNumId w:val="13"/>
  </w:num>
  <w:num w:numId="22">
    <w:abstractNumId w:val="19"/>
  </w:num>
  <w:num w:numId="23">
    <w:abstractNumId w:val="6"/>
  </w:num>
  <w:num w:numId="24">
    <w:abstractNumId w:val="29"/>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8"/>
  </w:num>
  <w:num w:numId="33">
    <w:abstractNumId w:val="25"/>
  </w:num>
  <w:num w:numId="34">
    <w:abstractNumId w:val="33"/>
  </w:num>
  <w:num w:numId="35">
    <w:abstractNumId w:val="10"/>
  </w:num>
  <w:num w:numId="36">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72"/>
    <w:rsid w:val="0000042E"/>
    <w:rsid w:val="00000A4E"/>
    <w:rsid w:val="0000146C"/>
    <w:rsid w:val="00004063"/>
    <w:rsid w:val="0000571A"/>
    <w:rsid w:val="000059C8"/>
    <w:rsid w:val="000068D7"/>
    <w:rsid w:val="00006D20"/>
    <w:rsid w:val="00006E4E"/>
    <w:rsid w:val="00006F46"/>
    <w:rsid w:val="0000737A"/>
    <w:rsid w:val="000107C5"/>
    <w:rsid w:val="00010DB0"/>
    <w:rsid w:val="00011253"/>
    <w:rsid w:val="000114D3"/>
    <w:rsid w:val="000119AD"/>
    <w:rsid w:val="00012D32"/>
    <w:rsid w:val="000130CA"/>
    <w:rsid w:val="0001377C"/>
    <w:rsid w:val="00014DDE"/>
    <w:rsid w:val="0001514D"/>
    <w:rsid w:val="00015AB0"/>
    <w:rsid w:val="000165C4"/>
    <w:rsid w:val="00016D16"/>
    <w:rsid w:val="00017B4C"/>
    <w:rsid w:val="0002018E"/>
    <w:rsid w:val="000208EE"/>
    <w:rsid w:val="00020F10"/>
    <w:rsid w:val="00021612"/>
    <w:rsid w:val="0002208C"/>
    <w:rsid w:val="000223BD"/>
    <w:rsid w:val="000228F8"/>
    <w:rsid w:val="00023609"/>
    <w:rsid w:val="00025001"/>
    <w:rsid w:val="00025A82"/>
    <w:rsid w:val="00026F82"/>
    <w:rsid w:val="00027F30"/>
    <w:rsid w:val="000313CD"/>
    <w:rsid w:val="000314AA"/>
    <w:rsid w:val="00031890"/>
    <w:rsid w:val="000319E6"/>
    <w:rsid w:val="00032125"/>
    <w:rsid w:val="00032ADC"/>
    <w:rsid w:val="00032DFB"/>
    <w:rsid w:val="000337D2"/>
    <w:rsid w:val="000338BE"/>
    <w:rsid w:val="00033D46"/>
    <w:rsid w:val="00035A7D"/>
    <w:rsid w:val="00035D6E"/>
    <w:rsid w:val="00036708"/>
    <w:rsid w:val="00036CC5"/>
    <w:rsid w:val="00036DA9"/>
    <w:rsid w:val="00040065"/>
    <w:rsid w:val="00041100"/>
    <w:rsid w:val="00042466"/>
    <w:rsid w:val="0004305E"/>
    <w:rsid w:val="00043EC8"/>
    <w:rsid w:val="00044192"/>
    <w:rsid w:val="00044816"/>
    <w:rsid w:val="00046578"/>
    <w:rsid w:val="00046B38"/>
    <w:rsid w:val="00046B4F"/>
    <w:rsid w:val="000471C3"/>
    <w:rsid w:val="000471D2"/>
    <w:rsid w:val="00047CF8"/>
    <w:rsid w:val="00047CFF"/>
    <w:rsid w:val="00050C91"/>
    <w:rsid w:val="00050D89"/>
    <w:rsid w:val="000518BF"/>
    <w:rsid w:val="0005361E"/>
    <w:rsid w:val="00054637"/>
    <w:rsid w:val="0005496C"/>
    <w:rsid w:val="00054BD1"/>
    <w:rsid w:val="00054F8D"/>
    <w:rsid w:val="000550BE"/>
    <w:rsid w:val="0005654A"/>
    <w:rsid w:val="00056723"/>
    <w:rsid w:val="00056D5E"/>
    <w:rsid w:val="000577C8"/>
    <w:rsid w:val="0006017B"/>
    <w:rsid w:val="0006078B"/>
    <w:rsid w:val="00060BA4"/>
    <w:rsid w:val="00061031"/>
    <w:rsid w:val="0006180E"/>
    <w:rsid w:val="00062CB4"/>
    <w:rsid w:val="00062E32"/>
    <w:rsid w:val="000635AF"/>
    <w:rsid w:val="00063790"/>
    <w:rsid w:val="000647CB"/>
    <w:rsid w:val="0006550B"/>
    <w:rsid w:val="00065981"/>
    <w:rsid w:val="00066347"/>
    <w:rsid w:val="00067F19"/>
    <w:rsid w:val="0007033E"/>
    <w:rsid w:val="00070487"/>
    <w:rsid w:val="00070BB3"/>
    <w:rsid w:val="000720D5"/>
    <w:rsid w:val="00073A7C"/>
    <w:rsid w:val="00075A4D"/>
    <w:rsid w:val="00075D6B"/>
    <w:rsid w:val="00076658"/>
    <w:rsid w:val="00077503"/>
    <w:rsid w:val="000819A9"/>
    <w:rsid w:val="00081A9C"/>
    <w:rsid w:val="0008333B"/>
    <w:rsid w:val="00083793"/>
    <w:rsid w:val="000841B6"/>
    <w:rsid w:val="00084A50"/>
    <w:rsid w:val="00084CA2"/>
    <w:rsid w:val="0008538F"/>
    <w:rsid w:val="000859EA"/>
    <w:rsid w:val="00085CF1"/>
    <w:rsid w:val="00085CF7"/>
    <w:rsid w:val="00085D6A"/>
    <w:rsid w:val="000875AC"/>
    <w:rsid w:val="00091769"/>
    <w:rsid w:val="0009215D"/>
    <w:rsid w:val="00092881"/>
    <w:rsid w:val="00092CD6"/>
    <w:rsid w:val="00093776"/>
    <w:rsid w:val="00093DBA"/>
    <w:rsid w:val="000943AB"/>
    <w:rsid w:val="00094525"/>
    <w:rsid w:val="000951D5"/>
    <w:rsid w:val="00096312"/>
    <w:rsid w:val="000969DB"/>
    <w:rsid w:val="00097896"/>
    <w:rsid w:val="000A0976"/>
    <w:rsid w:val="000A0992"/>
    <w:rsid w:val="000A1F2F"/>
    <w:rsid w:val="000A200D"/>
    <w:rsid w:val="000A229F"/>
    <w:rsid w:val="000A2432"/>
    <w:rsid w:val="000A2892"/>
    <w:rsid w:val="000A2F87"/>
    <w:rsid w:val="000A346C"/>
    <w:rsid w:val="000A3562"/>
    <w:rsid w:val="000A37E0"/>
    <w:rsid w:val="000A38A1"/>
    <w:rsid w:val="000A3C15"/>
    <w:rsid w:val="000A414F"/>
    <w:rsid w:val="000A53F4"/>
    <w:rsid w:val="000A5B6B"/>
    <w:rsid w:val="000A6408"/>
    <w:rsid w:val="000A70EF"/>
    <w:rsid w:val="000A77A0"/>
    <w:rsid w:val="000A7E00"/>
    <w:rsid w:val="000B06A0"/>
    <w:rsid w:val="000B0BE1"/>
    <w:rsid w:val="000B105B"/>
    <w:rsid w:val="000B1371"/>
    <w:rsid w:val="000B1849"/>
    <w:rsid w:val="000B2CA9"/>
    <w:rsid w:val="000B3A62"/>
    <w:rsid w:val="000B3B14"/>
    <w:rsid w:val="000B45A6"/>
    <w:rsid w:val="000B4B31"/>
    <w:rsid w:val="000B4B99"/>
    <w:rsid w:val="000B4D90"/>
    <w:rsid w:val="000B60A8"/>
    <w:rsid w:val="000B7305"/>
    <w:rsid w:val="000B7926"/>
    <w:rsid w:val="000B7A57"/>
    <w:rsid w:val="000B7E10"/>
    <w:rsid w:val="000B7F57"/>
    <w:rsid w:val="000C007E"/>
    <w:rsid w:val="000C2E48"/>
    <w:rsid w:val="000C398B"/>
    <w:rsid w:val="000C4EA1"/>
    <w:rsid w:val="000C57AF"/>
    <w:rsid w:val="000C57EC"/>
    <w:rsid w:val="000C5C76"/>
    <w:rsid w:val="000C6818"/>
    <w:rsid w:val="000C74A0"/>
    <w:rsid w:val="000D02DB"/>
    <w:rsid w:val="000D0A55"/>
    <w:rsid w:val="000D1BAB"/>
    <w:rsid w:val="000D319D"/>
    <w:rsid w:val="000D5722"/>
    <w:rsid w:val="000D61A4"/>
    <w:rsid w:val="000D7250"/>
    <w:rsid w:val="000D7343"/>
    <w:rsid w:val="000D7BC8"/>
    <w:rsid w:val="000E0D4F"/>
    <w:rsid w:val="000E1C0F"/>
    <w:rsid w:val="000E2084"/>
    <w:rsid w:val="000E2732"/>
    <w:rsid w:val="000E4050"/>
    <w:rsid w:val="000E42F6"/>
    <w:rsid w:val="000E4322"/>
    <w:rsid w:val="000E6688"/>
    <w:rsid w:val="000E66FB"/>
    <w:rsid w:val="000E670F"/>
    <w:rsid w:val="000E7259"/>
    <w:rsid w:val="000E76A7"/>
    <w:rsid w:val="000E7716"/>
    <w:rsid w:val="000E7A32"/>
    <w:rsid w:val="000F00BB"/>
    <w:rsid w:val="000F0CAB"/>
    <w:rsid w:val="000F23AD"/>
    <w:rsid w:val="000F2999"/>
    <w:rsid w:val="000F2D7F"/>
    <w:rsid w:val="000F311C"/>
    <w:rsid w:val="000F344F"/>
    <w:rsid w:val="000F43F3"/>
    <w:rsid w:val="000F4781"/>
    <w:rsid w:val="000F5314"/>
    <w:rsid w:val="000F579A"/>
    <w:rsid w:val="000F58F2"/>
    <w:rsid w:val="000F6634"/>
    <w:rsid w:val="000F690C"/>
    <w:rsid w:val="000F7601"/>
    <w:rsid w:val="00100585"/>
    <w:rsid w:val="00102FA0"/>
    <w:rsid w:val="00104492"/>
    <w:rsid w:val="0010480C"/>
    <w:rsid w:val="0010576B"/>
    <w:rsid w:val="00105818"/>
    <w:rsid w:val="00105874"/>
    <w:rsid w:val="0010687B"/>
    <w:rsid w:val="00111E99"/>
    <w:rsid w:val="001122A7"/>
    <w:rsid w:val="00112599"/>
    <w:rsid w:val="00112D2E"/>
    <w:rsid w:val="001130B6"/>
    <w:rsid w:val="00113466"/>
    <w:rsid w:val="0011368F"/>
    <w:rsid w:val="001140B9"/>
    <w:rsid w:val="0011458F"/>
    <w:rsid w:val="00115364"/>
    <w:rsid w:val="00115CFC"/>
    <w:rsid w:val="001162F1"/>
    <w:rsid w:val="00116511"/>
    <w:rsid w:val="00121429"/>
    <w:rsid w:val="0012201D"/>
    <w:rsid w:val="00123E34"/>
    <w:rsid w:val="00123E61"/>
    <w:rsid w:val="00124F82"/>
    <w:rsid w:val="0012546B"/>
    <w:rsid w:val="001255BC"/>
    <w:rsid w:val="00126224"/>
    <w:rsid w:val="0013121D"/>
    <w:rsid w:val="00131573"/>
    <w:rsid w:val="00132229"/>
    <w:rsid w:val="00132380"/>
    <w:rsid w:val="001326A2"/>
    <w:rsid w:val="00132E25"/>
    <w:rsid w:val="0013347E"/>
    <w:rsid w:val="00133B2D"/>
    <w:rsid w:val="00134862"/>
    <w:rsid w:val="001356FB"/>
    <w:rsid w:val="00136CD2"/>
    <w:rsid w:val="00136D06"/>
    <w:rsid w:val="001379D9"/>
    <w:rsid w:val="00137C62"/>
    <w:rsid w:val="00140723"/>
    <w:rsid w:val="00141DAD"/>
    <w:rsid w:val="00142391"/>
    <w:rsid w:val="001429EB"/>
    <w:rsid w:val="0014419A"/>
    <w:rsid w:val="0014469C"/>
    <w:rsid w:val="001446A7"/>
    <w:rsid w:val="001463D3"/>
    <w:rsid w:val="00146D78"/>
    <w:rsid w:val="00146DD6"/>
    <w:rsid w:val="001473B9"/>
    <w:rsid w:val="00147F16"/>
    <w:rsid w:val="00151939"/>
    <w:rsid w:val="00152740"/>
    <w:rsid w:val="00154AA4"/>
    <w:rsid w:val="001556DD"/>
    <w:rsid w:val="00155D8A"/>
    <w:rsid w:val="00155F21"/>
    <w:rsid w:val="00155FD3"/>
    <w:rsid w:val="00157E05"/>
    <w:rsid w:val="0016104F"/>
    <w:rsid w:val="00162038"/>
    <w:rsid w:val="00162E73"/>
    <w:rsid w:val="001637EE"/>
    <w:rsid w:val="0016458C"/>
    <w:rsid w:val="00164E8E"/>
    <w:rsid w:val="00165D6B"/>
    <w:rsid w:val="001665F0"/>
    <w:rsid w:val="00166F0D"/>
    <w:rsid w:val="00170036"/>
    <w:rsid w:val="00170DB4"/>
    <w:rsid w:val="00170DD1"/>
    <w:rsid w:val="00170E27"/>
    <w:rsid w:val="00170E9A"/>
    <w:rsid w:val="00171F7E"/>
    <w:rsid w:val="001733CC"/>
    <w:rsid w:val="0017431A"/>
    <w:rsid w:val="0017749E"/>
    <w:rsid w:val="00177C71"/>
    <w:rsid w:val="00180098"/>
    <w:rsid w:val="00181CA6"/>
    <w:rsid w:val="00181D91"/>
    <w:rsid w:val="00182516"/>
    <w:rsid w:val="001858D3"/>
    <w:rsid w:val="0018606B"/>
    <w:rsid w:val="00186216"/>
    <w:rsid w:val="00187512"/>
    <w:rsid w:val="0018777F"/>
    <w:rsid w:val="00187C4D"/>
    <w:rsid w:val="0019285C"/>
    <w:rsid w:val="00192B7B"/>
    <w:rsid w:val="00194AAB"/>
    <w:rsid w:val="0019506B"/>
    <w:rsid w:val="00195131"/>
    <w:rsid w:val="00195723"/>
    <w:rsid w:val="0019583B"/>
    <w:rsid w:val="001967CE"/>
    <w:rsid w:val="00196DB6"/>
    <w:rsid w:val="0019755F"/>
    <w:rsid w:val="0019788D"/>
    <w:rsid w:val="00197B5A"/>
    <w:rsid w:val="001A1CD4"/>
    <w:rsid w:val="001A2B17"/>
    <w:rsid w:val="001A45B9"/>
    <w:rsid w:val="001A4A25"/>
    <w:rsid w:val="001A56B1"/>
    <w:rsid w:val="001A6970"/>
    <w:rsid w:val="001A6BDA"/>
    <w:rsid w:val="001A6DEF"/>
    <w:rsid w:val="001A77B4"/>
    <w:rsid w:val="001B0A6F"/>
    <w:rsid w:val="001B1086"/>
    <w:rsid w:val="001B2595"/>
    <w:rsid w:val="001B3C2C"/>
    <w:rsid w:val="001B4097"/>
    <w:rsid w:val="001B4C7D"/>
    <w:rsid w:val="001B5662"/>
    <w:rsid w:val="001B6979"/>
    <w:rsid w:val="001C0312"/>
    <w:rsid w:val="001C0D68"/>
    <w:rsid w:val="001C18C6"/>
    <w:rsid w:val="001C284B"/>
    <w:rsid w:val="001C2F12"/>
    <w:rsid w:val="001C3EE5"/>
    <w:rsid w:val="001C58CF"/>
    <w:rsid w:val="001C694E"/>
    <w:rsid w:val="001C6CC7"/>
    <w:rsid w:val="001C6FE4"/>
    <w:rsid w:val="001C7446"/>
    <w:rsid w:val="001C7529"/>
    <w:rsid w:val="001D0D9E"/>
    <w:rsid w:val="001D12BC"/>
    <w:rsid w:val="001D15A2"/>
    <w:rsid w:val="001D2412"/>
    <w:rsid w:val="001D2AF9"/>
    <w:rsid w:val="001D35E9"/>
    <w:rsid w:val="001D3B7D"/>
    <w:rsid w:val="001D4D54"/>
    <w:rsid w:val="001D5504"/>
    <w:rsid w:val="001D6BA8"/>
    <w:rsid w:val="001D7356"/>
    <w:rsid w:val="001D78A1"/>
    <w:rsid w:val="001E0A89"/>
    <w:rsid w:val="001E0DCE"/>
    <w:rsid w:val="001E22C6"/>
    <w:rsid w:val="001E2788"/>
    <w:rsid w:val="001E29C5"/>
    <w:rsid w:val="001E3470"/>
    <w:rsid w:val="001E3B1B"/>
    <w:rsid w:val="001E5CE5"/>
    <w:rsid w:val="001E5DC9"/>
    <w:rsid w:val="001E62A2"/>
    <w:rsid w:val="001E73B4"/>
    <w:rsid w:val="001F04CE"/>
    <w:rsid w:val="001F077A"/>
    <w:rsid w:val="001F0F04"/>
    <w:rsid w:val="001F18B7"/>
    <w:rsid w:val="001F1A62"/>
    <w:rsid w:val="001F1E8F"/>
    <w:rsid w:val="001F2921"/>
    <w:rsid w:val="001F2A5C"/>
    <w:rsid w:val="001F392C"/>
    <w:rsid w:val="001F3989"/>
    <w:rsid w:val="001F3B49"/>
    <w:rsid w:val="001F4B1E"/>
    <w:rsid w:val="001F4F3D"/>
    <w:rsid w:val="001F5F1D"/>
    <w:rsid w:val="001F5FC3"/>
    <w:rsid w:val="001F76E1"/>
    <w:rsid w:val="001F7A69"/>
    <w:rsid w:val="00200289"/>
    <w:rsid w:val="00200306"/>
    <w:rsid w:val="00200425"/>
    <w:rsid w:val="00200D5A"/>
    <w:rsid w:val="0020137E"/>
    <w:rsid w:val="00201773"/>
    <w:rsid w:val="00201E4F"/>
    <w:rsid w:val="00203049"/>
    <w:rsid w:val="00203BA1"/>
    <w:rsid w:val="00203BFA"/>
    <w:rsid w:val="0020409F"/>
    <w:rsid w:val="002045B9"/>
    <w:rsid w:val="00204ADF"/>
    <w:rsid w:val="0020574B"/>
    <w:rsid w:val="002066A6"/>
    <w:rsid w:val="002068A1"/>
    <w:rsid w:val="002069B0"/>
    <w:rsid w:val="00206B4C"/>
    <w:rsid w:val="002071B5"/>
    <w:rsid w:val="00207656"/>
    <w:rsid w:val="00210218"/>
    <w:rsid w:val="002102C1"/>
    <w:rsid w:val="00211919"/>
    <w:rsid w:val="002136C6"/>
    <w:rsid w:val="002140AB"/>
    <w:rsid w:val="00214EA3"/>
    <w:rsid w:val="00215978"/>
    <w:rsid w:val="00215BFB"/>
    <w:rsid w:val="002167A6"/>
    <w:rsid w:val="002175F5"/>
    <w:rsid w:val="002179FD"/>
    <w:rsid w:val="00217E6C"/>
    <w:rsid w:val="002210B9"/>
    <w:rsid w:val="00222494"/>
    <w:rsid w:val="0022277B"/>
    <w:rsid w:val="00223C92"/>
    <w:rsid w:val="0022448A"/>
    <w:rsid w:val="00225266"/>
    <w:rsid w:val="00225C4E"/>
    <w:rsid w:val="0022645C"/>
    <w:rsid w:val="00226FB1"/>
    <w:rsid w:val="00227131"/>
    <w:rsid w:val="0023057B"/>
    <w:rsid w:val="00230B90"/>
    <w:rsid w:val="00230E99"/>
    <w:rsid w:val="00232110"/>
    <w:rsid w:val="00233854"/>
    <w:rsid w:val="00233F9A"/>
    <w:rsid w:val="002341CD"/>
    <w:rsid w:val="002347F0"/>
    <w:rsid w:val="0023493D"/>
    <w:rsid w:val="002355E0"/>
    <w:rsid w:val="002363FC"/>
    <w:rsid w:val="0024284A"/>
    <w:rsid w:val="00242A10"/>
    <w:rsid w:val="00243D9B"/>
    <w:rsid w:val="00244CBC"/>
    <w:rsid w:val="002456B2"/>
    <w:rsid w:val="0024703E"/>
    <w:rsid w:val="00247554"/>
    <w:rsid w:val="00252CA1"/>
    <w:rsid w:val="00253371"/>
    <w:rsid w:val="002540A5"/>
    <w:rsid w:val="00254510"/>
    <w:rsid w:val="002547CA"/>
    <w:rsid w:val="00255609"/>
    <w:rsid w:val="00256757"/>
    <w:rsid w:val="002567D0"/>
    <w:rsid w:val="002568FE"/>
    <w:rsid w:val="00256D69"/>
    <w:rsid w:val="00257B5B"/>
    <w:rsid w:val="00257F28"/>
    <w:rsid w:val="00260113"/>
    <w:rsid w:val="0026059D"/>
    <w:rsid w:val="00262B7F"/>
    <w:rsid w:val="00263511"/>
    <w:rsid w:val="00265202"/>
    <w:rsid w:val="00265301"/>
    <w:rsid w:val="00265C09"/>
    <w:rsid w:val="00266229"/>
    <w:rsid w:val="00266655"/>
    <w:rsid w:val="0026679F"/>
    <w:rsid w:val="00266CEF"/>
    <w:rsid w:val="00266E71"/>
    <w:rsid w:val="002673B7"/>
    <w:rsid w:val="002677B5"/>
    <w:rsid w:val="00270296"/>
    <w:rsid w:val="0027032A"/>
    <w:rsid w:val="0027251A"/>
    <w:rsid w:val="00272654"/>
    <w:rsid w:val="00274FF4"/>
    <w:rsid w:val="00275165"/>
    <w:rsid w:val="00276E9B"/>
    <w:rsid w:val="00280167"/>
    <w:rsid w:val="00281661"/>
    <w:rsid w:val="0028232A"/>
    <w:rsid w:val="00282677"/>
    <w:rsid w:val="00282E74"/>
    <w:rsid w:val="00283570"/>
    <w:rsid w:val="00283CA7"/>
    <w:rsid w:val="00283D6E"/>
    <w:rsid w:val="00285537"/>
    <w:rsid w:val="002856AE"/>
    <w:rsid w:val="00285FA4"/>
    <w:rsid w:val="00291712"/>
    <w:rsid w:val="00291EFD"/>
    <w:rsid w:val="00291FAC"/>
    <w:rsid w:val="00292170"/>
    <w:rsid w:val="002921BC"/>
    <w:rsid w:val="002921D0"/>
    <w:rsid w:val="00292316"/>
    <w:rsid w:val="00292790"/>
    <w:rsid w:val="00292E92"/>
    <w:rsid w:val="002938D3"/>
    <w:rsid w:val="00293F88"/>
    <w:rsid w:val="00294E75"/>
    <w:rsid w:val="002950E6"/>
    <w:rsid w:val="00295840"/>
    <w:rsid w:val="00295B57"/>
    <w:rsid w:val="002A09DF"/>
    <w:rsid w:val="002A1232"/>
    <w:rsid w:val="002A12C7"/>
    <w:rsid w:val="002A1700"/>
    <w:rsid w:val="002A32A4"/>
    <w:rsid w:val="002A4458"/>
    <w:rsid w:val="002A45B9"/>
    <w:rsid w:val="002A55D9"/>
    <w:rsid w:val="002A5C35"/>
    <w:rsid w:val="002A766E"/>
    <w:rsid w:val="002B049E"/>
    <w:rsid w:val="002B0629"/>
    <w:rsid w:val="002B19F0"/>
    <w:rsid w:val="002B2F07"/>
    <w:rsid w:val="002B401A"/>
    <w:rsid w:val="002B4C60"/>
    <w:rsid w:val="002B5C19"/>
    <w:rsid w:val="002B5F44"/>
    <w:rsid w:val="002C049C"/>
    <w:rsid w:val="002C181C"/>
    <w:rsid w:val="002C3C22"/>
    <w:rsid w:val="002C5757"/>
    <w:rsid w:val="002C653E"/>
    <w:rsid w:val="002C6634"/>
    <w:rsid w:val="002C7A3E"/>
    <w:rsid w:val="002D1A4B"/>
    <w:rsid w:val="002D1C87"/>
    <w:rsid w:val="002D2208"/>
    <w:rsid w:val="002D3EE8"/>
    <w:rsid w:val="002D40C1"/>
    <w:rsid w:val="002D4FB2"/>
    <w:rsid w:val="002D6795"/>
    <w:rsid w:val="002D67D3"/>
    <w:rsid w:val="002D73A5"/>
    <w:rsid w:val="002D7A5C"/>
    <w:rsid w:val="002E1E2A"/>
    <w:rsid w:val="002E303A"/>
    <w:rsid w:val="002E334B"/>
    <w:rsid w:val="002E6246"/>
    <w:rsid w:val="002E6AB6"/>
    <w:rsid w:val="002F03A2"/>
    <w:rsid w:val="002F1679"/>
    <w:rsid w:val="002F236F"/>
    <w:rsid w:val="002F290F"/>
    <w:rsid w:val="002F3B4C"/>
    <w:rsid w:val="002F445A"/>
    <w:rsid w:val="002F449F"/>
    <w:rsid w:val="002F44F1"/>
    <w:rsid w:val="002F5632"/>
    <w:rsid w:val="002F63DB"/>
    <w:rsid w:val="002F63EE"/>
    <w:rsid w:val="002F760F"/>
    <w:rsid w:val="002F7A5C"/>
    <w:rsid w:val="0030248B"/>
    <w:rsid w:val="003036A0"/>
    <w:rsid w:val="00304763"/>
    <w:rsid w:val="00306357"/>
    <w:rsid w:val="003065A3"/>
    <w:rsid w:val="00306639"/>
    <w:rsid w:val="00306CBF"/>
    <w:rsid w:val="00306F3C"/>
    <w:rsid w:val="003079D9"/>
    <w:rsid w:val="00310649"/>
    <w:rsid w:val="00311143"/>
    <w:rsid w:val="00313413"/>
    <w:rsid w:val="0031349C"/>
    <w:rsid w:val="0031407E"/>
    <w:rsid w:val="003142AE"/>
    <w:rsid w:val="00314B0A"/>
    <w:rsid w:val="00316084"/>
    <w:rsid w:val="00316268"/>
    <w:rsid w:val="00316626"/>
    <w:rsid w:val="00317567"/>
    <w:rsid w:val="0031790B"/>
    <w:rsid w:val="00317C64"/>
    <w:rsid w:val="003210CE"/>
    <w:rsid w:val="003214C0"/>
    <w:rsid w:val="0032151B"/>
    <w:rsid w:val="003216BB"/>
    <w:rsid w:val="0032171D"/>
    <w:rsid w:val="003221B4"/>
    <w:rsid w:val="0032241B"/>
    <w:rsid w:val="003230AE"/>
    <w:rsid w:val="00323B5F"/>
    <w:rsid w:val="00325579"/>
    <w:rsid w:val="00325660"/>
    <w:rsid w:val="00325A51"/>
    <w:rsid w:val="00326EFD"/>
    <w:rsid w:val="0033122B"/>
    <w:rsid w:val="0033139C"/>
    <w:rsid w:val="00333218"/>
    <w:rsid w:val="003341D2"/>
    <w:rsid w:val="00334311"/>
    <w:rsid w:val="00334DCB"/>
    <w:rsid w:val="003355CB"/>
    <w:rsid w:val="00335B53"/>
    <w:rsid w:val="00336687"/>
    <w:rsid w:val="0033697F"/>
    <w:rsid w:val="00336BF0"/>
    <w:rsid w:val="00336FF3"/>
    <w:rsid w:val="003370C0"/>
    <w:rsid w:val="003375CC"/>
    <w:rsid w:val="00340256"/>
    <w:rsid w:val="003409AB"/>
    <w:rsid w:val="00340C08"/>
    <w:rsid w:val="00340DD3"/>
    <w:rsid w:val="003411D9"/>
    <w:rsid w:val="003414FA"/>
    <w:rsid w:val="00341761"/>
    <w:rsid w:val="00341E6C"/>
    <w:rsid w:val="00345236"/>
    <w:rsid w:val="00345B3F"/>
    <w:rsid w:val="00345F72"/>
    <w:rsid w:val="0034651C"/>
    <w:rsid w:val="00346A06"/>
    <w:rsid w:val="003473F3"/>
    <w:rsid w:val="0035185A"/>
    <w:rsid w:val="003527F2"/>
    <w:rsid w:val="00352A7A"/>
    <w:rsid w:val="00353E18"/>
    <w:rsid w:val="00354516"/>
    <w:rsid w:val="003548F1"/>
    <w:rsid w:val="0035513F"/>
    <w:rsid w:val="00355408"/>
    <w:rsid w:val="003554E7"/>
    <w:rsid w:val="00355BB7"/>
    <w:rsid w:val="0035676B"/>
    <w:rsid w:val="00357672"/>
    <w:rsid w:val="00357B2E"/>
    <w:rsid w:val="00361383"/>
    <w:rsid w:val="003617B2"/>
    <w:rsid w:val="00362BD0"/>
    <w:rsid w:val="003632A3"/>
    <w:rsid w:val="00363D7F"/>
    <w:rsid w:val="00364696"/>
    <w:rsid w:val="00365A03"/>
    <w:rsid w:val="00366221"/>
    <w:rsid w:val="003675F9"/>
    <w:rsid w:val="00367A9A"/>
    <w:rsid w:val="00367F63"/>
    <w:rsid w:val="00370B00"/>
    <w:rsid w:val="00371CF9"/>
    <w:rsid w:val="00372885"/>
    <w:rsid w:val="00372EE1"/>
    <w:rsid w:val="0037373A"/>
    <w:rsid w:val="00373D96"/>
    <w:rsid w:val="00373E52"/>
    <w:rsid w:val="0037605B"/>
    <w:rsid w:val="00376394"/>
    <w:rsid w:val="00377325"/>
    <w:rsid w:val="0037785E"/>
    <w:rsid w:val="00377EC4"/>
    <w:rsid w:val="003803BF"/>
    <w:rsid w:val="00380808"/>
    <w:rsid w:val="003816EF"/>
    <w:rsid w:val="00381F32"/>
    <w:rsid w:val="0038394E"/>
    <w:rsid w:val="00384E93"/>
    <w:rsid w:val="003850E4"/>
    <w:rsid w:val="003861C8"/>
    <w:rsid w:val="003861E3"/>
    <w:rsid w:val="00386426"/>
    <w:rsid w:val="003872C6"/>
    <w:rsid w:val="00387375"/>
    <w:rsid w:val="00387ACA"/>
    <w:rsid w:val="00390E6C"/>
    <w:rsid w:val="0039136F"/>
    <w:rsid w:val="0039152B"/>
    <w:rsid w:val="00391D79"/>
    <w:rsid w:val="003934C2"/>
    <w:rsid w:val="003936D9"/>
    <w:rsid w:val="00394747"/>
    <w:rsid w:val="00394989"/>
    <w:rsid w:val="00394B83"/>
    <w:rsid w:val="00395EF8"/>
    <w:rsid w:val="00397E7E"/>
    <w:rsid w:val="003A087C"/>
    <w:rsid w:val="003A2192"/>
    <w:rsid w:val="003A61D1"/>
    <w:rsid w:val="003A7A84"/>
    <w:rsid w:val="003B01C5"/>
    <w:rsid w:val="003B12A0"/>
    <w:rsid w:val="003B1B77"/>
    <w:rsid w:val="003B277E"/>
    <w:rsid w:val="003B2897"/>
    <w:rsid w:val="003B3B85"/>
    <w:rsid w:val="003B4031"/>
    <w:rsid w:val="003B45FB"/>
    <w:rsid w:val="003B50D7"/>
    <w:rsid w:val="003B52CF"/>
    <w:rsid w:val="003B546D"/>
    <w:rsid w:val="003B54A8"/>
    <w:rsid w:val="003B61BF"/>
    <w:rsid w:val="003C16D5"/>
    <w:rsid w:val="003C1B67"/>
    <w:rsid w:val="003C283B"/>
    <w:rsid w:val="003C29A4"/>
    <w:rsid w:val="003C2FE2"/>
    <w:rsid w:val="003C36CE"/>
    <w:rsid w:val="003C3723"/>
    <w:rsid w:val="003C5337"/>
    <w:rsid w:val="003C561C"/>
    <w:rsid w:val="003C5758"/>
    <w:rsid w:val="003C58EA"/>
    <w:rsid w:val="003C6D8D"/>
    <w:rsid w:val="003C7963"/>
    <w:rsid w:val="003D019C"/>
    <w:rsid w:val="003D04B2"/>
    <w:rsid w:val="003D083A"/>
    <w:rsid w:val="003D084C"/>
    <w:rsid w:val="003D0B7A"/>
    <w:rsid w:val="003D0DAD"/>
    <w:rsid w:val="003D0F58"/>
    <w:rsid w:val="003D14F0"/>
    <w:rsid w:val="003D15F3"/>
    <w:rsid w:val="003D2960"/>
    <w:rsid w:val="003D463D"/>
    <w:rsid w:val="003D4D26"/>
    <w:rsid w:val="003D51C9"/>
    <w:rsid w:val="003D5211"/>
    <w:rsid w:val="003D6FFD"/>
    <w:rsid w:val="003D76D8"/>
    <w:rsid w:val="003D7C37"/>
    <w:rsid w:val="003E09E9"/>
    <w:rsid w:val="003E0B41"/>
    <w:rsid w:val="003E21FE"/>
    <w:rsid w:val="003E24A4"/>
    <w:rsid w:val="003E2D0E"/>
    <w:rsid w:val="003E4838"/>
    <w:rsid w:val="003E4B4C"/>
    <w:rsid w:val="003E4C04"/>
    <w:rsid w:val="003E59A2"/>
    <w:rsid w:val="003E6825"/>
    <w:rsid w:val="003E6BAA"/>
    <w:rsid w:val="003E6DD4"/>
    <w:rsid w:val="003E7693"/>
    <w:rsid w:val="003F06EF"/>
    <w:rsid w:val="003F1291"/>
    <w:rsid w:val="003F1371"/>
    <w:rsid w:val="003F38E5"/>
    <w:rsid w:val="003F4632"/>
    <w:rsid w:val="003F506C"/>
    <w:rsid w:val="003F530D"/>
    <w:rsid w:val="003F5D93"/>
    <w:rsid w:val="00400331"/>
    <w:rsid w:val="0040145D"/>
    <w:rsid w:val="0040193C"/>
    <w:rsid w:val="004021C2"/>
    <w:rsid w:val="00402997"/>
    <w:rsid w:val="0040398F"/>
    <w:rsid w:val="00404B68"/>
    <w:rsid w:val="0040559D"/>
    <w:rsid w:val="00405AEC"/>
    <w:rsid w:val="00405BFD"/>
    <w:rsid w:val="00406309"/>
    <w:rsid w:val="00406BB9"/>
    <w:rsid w:val="00406EF9"/>
    <w:rsid w:val="00407304"/>
    <w:rsid w:val="00407E29"/>
    <w:rsid w:val="00410873"/>
    <w:rsid w:val="0041277F"/>
    <w:rsid w:val="004134D5"/>
    <w:rsid w:val="00414E7F"/>
    <w:rsid w:val="004160B9"/>
    <w:rsid w:val="00416113"/>
    <w:rsid w:val="00416A0E"/>
    <w:rsid w:val="00416C8F"/>
    <w:rsid w:val="004173A7"/>
    <w:rsid w:val="00417AE4"/>
    <w:rsid w:val="00417BFD"/>
    <w:rsid w:val="00417E14"/>
    <w:rsid w:val="0042032D"/>
    <w:rsid w:val="0042191D"/>
    <w:rsid w:val="00421B99"/>
    <w:rsid w:val="00422D50"/>
    <w:rsid w:val="00422DD6"/>
    <w:rsid w:val="00424FF8"/>
    <w:rsid w:val="0042539C"/>
    <w:rsid w:val="0042552D"/>
    <w:rsid w:val="00425923"/>
    <w:rsid w:val="00426352"/>
    <w:rsid w:val="004263DC"/>
    <w:rsid w:val="00426D31"/>
    <w:rsid w:val="004278EF"/>
    <w:rsid w:val="00430610"/>
    <w:rsid w:val="004321F6"/>
    <w:rsid w:val="00432879"/>
    <w:rsid w:val="004334E9"/>
    <w:rsid w:val="00433823"/>
    <w:rsid w:val="00433C2F"/>
    <w:rsid w:val="00433ED7"/>
    <w:rsid w:val="0043457B"/>
    <w:rsid w:val="00435091"/>
    <w:rsid w:val="004352D9"/>
    <w:rsid w:val="004354A7"/>
    <w:rsid w:val="00435EB0"/>
    <w:rsid w:val="00436A0F"/>
    <w:rsid w:val="00436A74"/>
    <w:rsid w:val="00441253"/>
    <w:rsid w:val="00441282"/>
    <w:rsid w:val="00441372"/>
    <w:rsid w:val="00441C89"/>
    <w:rsid w:val="0044213B"/>
    <w:rsid w:val="0044352B"/>
    <w:rsid w:val="00443E38"/>
    <w:rsid w:val="0044513D"/>
    <w:rsid w:val="0044516B"/>
    <w:rsid w:val="00446504"/>
    <w:rsid w:val="004467E2"/>
    <w:rsid w:val="0044798B"/>
    <w:rsid w:val="004506C0"/>
    <w:rsid w:val="0045099C"/>
    <w:rsid w:val="00450CE7"/>
    <w:rsid w:val="00450E4B"/>
    <w:rsid w:val="00451468"/>
    <w:rsid w:val="00454E13"/>
    <w:rsid w:val="00454ED0"/>
    <w:rsid w:val="00455AA3"/>
    <w:rsid w:val="00455C26"/>
    <w:rsid w:val="00456D41"/>
    <w:rsid w:val="004637BD"/>
    <w:rsid w:val="00463AE4"/>
    <w:rsid w:val="00463F0E"/>
    <w:rsid w:val="0046456D"/>
    <w:rsid w:val="00466632"/>
    <w:rsid w:val="00466881"/>
    <w:rsid w:val="00466FF7"/>
    <w:rsid w:val="00467AE3"/>
    <w:rsid w:val="00467C00"/>
    <w:rsid w:val="0047070C"/>
    <w:rsid w:val="00471852"/>
    <w:rsid w:val="0047261A"/>
    <w:rsid w:val="00472730"/>
    <w:rsid w:val="0047359E"/>
    <w:rsid w:val="0047505C"/>
    <w:rsid w:val="004770CE"/>
    <w:rsid w:val="00477CE1"/>
    <w:rsid w:val="0048028D"/>
    <w:rsid w:val="004802B2"/>
    <w:rsid w:val="00480969"/>
    <w:rsid w:val="00481B98"/>
    <w:rsid w:val="00481E3B"/>
    <w:rsid w:val="00482E69"/>
    <w:rsid w:val="00482F7E"/>
    <w:rsid w:val="00483C34"/>
    <w:rsid w:val="00484462"/>
    <w:rsid w:val="004844AC"/>
    <w:rsid w:val="00484E43"/>
    <w:rsid w:val="004859B5"/>
    <w:rsid w:val="00485B30"/>
    <w:rsid w:val="004867CC"/>
    <w:rsid w:val="0048680D"/>
    <w:rsid w:val="00486BAB"/>
    <w:rsid w:val="00487092"/>
    <w:rsid w:val="00487BC5"/>
    <w:rsid w:val="00487F0D"/>
    <w:rsid w:val="0049022F"/>
    <w:rsid w:val="004906E5"/>
    <w:rsid w:val="004923F9"/>
    <w:rsid w:val="00492ED5"/>
    <w:rsid w:val="00494D8A"/>
    <w:rsid w:val="004952FC"/>
    <w:rsid w:val="0049554E"/>
    <w:rsid w:val="004956AD"/>
    <w:rsid w:val="00496CFF"/>
    <w:rsid w:val="00496FBE"/>
    <w:rsid w:val="00497B25"/>
    <w:rsid w:val="004A0652"/>
    <w:rsid w:val="004A0D17"/>
    <w:rsid w:val="004A16B5"/>
    <w:rsid w:val="004A1DC9"/>
    <w:rsid w:val="004A1E43"/>
    <w:rsid w:val="004A1F7D"/>
    <w:rsid w:val="004A22CA"/>
    <w:rsid w:val="004A29B4"/>
    <w:rsid w:val="004A2BA1"/>
    <w:rsid w:val="004A3123"/>
    <w:rsid w:val="004A324D"/>
    <w:rsid w:val="004A3C42"/>
    <w:rsid w:val="004A41AF"/>
    <w:rsid w:val="004A4340"/>
    <w:rsid w:val="004A5B14"/>
    <w:rsid w:val="004A5D88"/>
    <w:rsid w:val="004A5EFE"/>
    <w:rsid w:val="004A698F"/>
    <w:rsid w:val="004A7F04"/>
    <w:rsid w:val="004B00D3"/>
    <w:rsid w:val="004B3336"/>
    <w:rsid w:val="004B3341"/>
    <w:rsid w:val="004B4744"/>
    <w:rsid w:val="004B5792"/>
    <w:rsid w:val="004B6886"/>
    <w:rsid w:val="004B7E69"/>
    <w:rsid w:val="004C0E29"/>
    <w:rsid w:val="004C2601"/>
    <w:rsid w:val="004C3C45"/>
    <w:rsid w:val="004C47CD"/>
    <w:rsid w:val="004C73E0"/>
    <w:rsid w:val="004C7BBC"/>
    <w:rsid w:val="004C7FC8"/>
    <w:rsid w:val="004D0EB6"/>
    <w:rsid w:val="004D15E1"/>
    <w:rsid w:val="004D3D2C"/>
    <w:rsid w:val="004D3FBF"/>
    <w:rsid w:val="004D416A"/>
    <w:rsid w:val="004D4EDE"/>
    <w:rsid w:val="004D55A3"/>
    <w:rsid w:val="004D58D6"/>
    <w:rsid w:val="004D64A6"/>
    <w:rsid w:val="004D6D18"/>
    <w:rsid w:val="004E2A72"/>
    <w:rsid w:val="004E3416"/>
    <w:rsid w:val="004E3760"/>
    <w:rsid w:val="004E3ACA"/>
    <w:rsid w:val="004E4172"/>
    <w:rsid w:val="004E58F0"/>
    <w:rsid w:val="004E5973"/>
    <w:rsid w:val="004E67B5"/>
    <w:rsid w:val="004E6C0E"/>
    <w:rsid w:val="004E6D44"/>
    <w:rsid w:val="004F03E6"/>
    <w:rsid w:val="004F04D1"/>
    <w:rsid w:val="004F0879"/>
    <w:rsid w:val="004F08D3"/>
    <w:rsid w:val="004F0DBD"/>
    <w:rsid w:val="004F12F8"/>
    <w:rsid w:val="004F16C6"/>
    <w:rsid w:val="004F21AE"/>
    <w:rsid w:val="004F2207"/>
    <w:rsid w:val="004F3641"/>
    <w:rsid w:val="004F4A02"/>
    <w:rsid w:val="004F4D81"/>
    <w:rsid w:val="004F50C7"/>
    <w:rsid w:val="004F59EF"/>
    <w:rsid w:val="004F71EA"/>
    <w:rsid w:val="004F7D8A"/>
    <w:rsid w:val="00502286"/>
    <w:rsid w:val="0050472F"/>
    <w:rsid w:val="005052A4"/>
    <w:rsid w:val="00506ABC"/>
    <w:rsid w:val="00506D60"/>
    <w:rsid w:val="0050714F"/>
    <w:rsid w:val="0050796C"/>
    <w:rsid w:val="00507DCE"/>
    <w:rsid w:val="005113B2"/>
    <w:rsid w:val="00511FA9"/>
    <w:rsid w:val="005127F9"/>
    <w:rsid w:val="00514062"/>
    <w:rsid w:val="0051458A"/>
    <w:rsid w:val="00515366"/>
    <w:rsid w:val="0051667C"/>
    <w:rsid w:val="00520C3D"/>
    <w:rsid w:val="00520DCB"/>
    <w:rsid w:val="00521119"/>
    <w:rsid w:val="00521693"/>
    <w:rsid w:val="00521B8E"/>
    <w:rsid w:val="00522E3D"/>
    <w:rsid w:val="0052325D"/>
    <w:rsid w:val="005248D5"/>
    <w:rsid w:val="00524EDD"/>
    <w:rsid w:val="005260AA"/>
    <w:rsid w:val="005272D6"/>
    <w:rsid w:val="00527344"/>
    <w:rsid w:val="0052752E"/>
    <w:rsid w:val="00527AD2"/>
    <w:rsid w:val="0053024E"/>
    <w:rsid w:val="0053036F"/>
    <w:rsid w:val="00531992"/>
    <w:rsid w:val="00532882"/>
    <w:rsid w:val="00532F9B"/>
    <w:rsid w:val="005342A1"/>
    <w:rsid w:val="005344FF"/>
    <w:rsid w:val="0053489E"/>
    <w:rsid w:val="00534E5B"/>
    <w:rsid w:val="00534EFF"/>
    <w:rsid w:val="0053572C"/>
    <w:rsid w:val="00535E1B"/>
    <w:rsid w:val="00535FC5"/>
    <w:rsid w:val="00537A84"/>
    <w:rsid w:val="00540A15"/>
    <w:rsid w:val="00540B43"/>
    <w:rsid w:val="005414C6"/>
    <w:rsid w:val="00542F7F"/>
    <w:rsid w:val="00543D13"/>
    <w:rsid w:val="00545F55"/>
    <w:rsid w:val="00546008"/>
    <w:rsid w:val="005468C0"/>
    <w:rsid w:val="00546FA6"/>
    <w:rsid w:val="00550035"/>
    <w:rsid w:val="0055062E"/>
    <w:rsid w:val="0055143D"/>
    <w:rsid w:val="00552704"/>
    <w:rsid w:val="00553606"/>
    <w:rsid w:val="00553B2C"/>
    <w:rsid w:val="00553F29"/>
    <w:rsid w:val="00553FAC"/>
    <w:rsid w:val="00555909"/>
    <w:rsid w:val="00555EBC"/>
    <w:rsid w:val="00556579"/>
    <w:rsid w:val="00556709"/>
    <w:rsid w:val="00557217"/>
    <w:rsid w:val="00560209"/>
    <w:rsid w:val="0056066D"/>
    <w:rsid w:val="00562291"/>
    <w:rsid w:val="00562534"/>
    <w:rsid w:val="0056274D"/>
    <w:rsid w:val="00562E58"/>
    <w:rsid w:val="005648E0"/>
    <w:rsid w:val="00564AEE"/>
    <w:rsid w:val="0056556E"/>
    <w:rsid w:val="00566D51"/>
    <w:rsid w:val="0056745D"/>
    <w:rsid w:val="00570A8D"/>
    <w:rsid w:val="00570E81"/>
    <w:rsid w:val="0057298D"/>
    <w:rsid w:val="00572C2F"/>
    <w:rsid w:val="0057408E"/>
    <w:rsid w:val="0057432D"/>
    <w:rsid w:val="00574CE2"/>
    <w:rsid w:val="00576D68"/>
    <w:rsid w:val="00577929"/>
    <w:rsid w:val="005802CD"/>
    <w:rsid w:val="00581A6E"/>
    <w:rsid w:val="00581AF6"/>
    <w:rsid w:val="00581CAB"/>
    <w:rsid w:val="0058297C"/>
    <w:rsid w:val="00583C41"/>
    <w:rsid w:val="005840D7"/>
    <w:rsid w:val="00584BAB"/>
    <w:rsid w:val="00585646"/>
    <w:rsid w:val="00585D7C"/>
    <w:rsid w:val="00586EC9"/>
    <w:rsid w:val="00587042"/>
    <w:rsid w:val="00590363"/>
    <w:rsid w:val="00590EC9"/>
    <w:rsid w:val="00591334"/>
    <w:rsid w:val="00591C93"/>
    <w:rsid w:val="00591E06"/>
    <w:rsid w:val="005923DB"/>
    <w:rsid w:val="00593F71"/>
    <w:rsid w:val="00596FFE"/>
    <w:rsid w:val="00597499"/>
    <w:rsid w:val="005975F1"/>
    <w:rsid w:val="005A01FA"/>
    <w:rsid w:val="005A0661"/>
    <w:rsid w:val="005A212F"/>
    <w:rsid w:val="005A2320"/>
    <w:rsid w:val="005A25B1"/>
    <w:rsid w:val="005A274F"/>
    <w:rsid w:val="005A2CF4"/>
    <w:rsid w:val="005A48F2"/>
    <w:rsid w:val="005A51EF"/>
    <w:rsid w:val="005A6230"/>
    <w:rsid w:val="005A6913"/>
    <w:rsid w:val="005A7371"/>
    <w:rsid w:val="005B04E1"/>
    <w:rsid w:val="005B064C"/>
    <w:rsid w:val="005B0CE7"/>
    <w:rsid w:val="005B1077"/>
    <w:rsid w:val="005B13B0"/>
    <w:rsid w:val="005B217C"/>
    <w:rsid w:val="005B34F0"/>
    <w:rsid w:val="005B4455"/>
    <w:rsid w:val="005B4841"/>
    <w:rsid w:val="005B4AAA"/>
    <w:rsid w:val="005B52C6"/>
    <w:rsid w:val="005B5A64"/>
    <w:rsid w:val="005B5D1B"/>
    <w:rsid w:val="005B73D1"/>
    <w:rsid w:val="005C1096"/>
    <w:rsid w:val="005C119A"/>
    <w:rsid w:val="005C1C8B"/>
    <w:rsid w:val="005C1F92"/>
    <w:rsid w:val="005C31D1"/>
    <w:rsid w:val="005C47BD"/>
    <w:rsid w:val="005C5177"/>
    <w:rsid w:val="005C52EB"/>
    <w:rsid w:val="005C7035"/>
    <w:rsid w:val="005C70FE"/>
    <w:rsid w:val="005C77AC"/>
    <w:rsid w:val="005D0E93"/>
    <w:rsid w:val="005D0EB0"/>
    <w:rsid w:val="005D1243"/>
    <w:rsid w:val="005D258B"/>
    <w:rsid w:val="005D3191"/>
    <w:rsid w:val="005D3C0D"/>
    <w:rsid w:val="005D46C8"/>
    <w:rsid w:val="005D52AE"/>
    <w:rsid w:val="005D6910"/>
    <w:rsid w:val="005D6FB5"/>
    <w:rsid w:val="005D7311"/>
    <w:rsid w:val="005E03F0"/>
    <w:rsid w:val="005E0910"/>
    <w:rsid w:val="005E0D82"/>
    <w:rsid w:val="005E0DB4"/>
    <w:rsid w:val="005E0FFF"/>
    <w:rsid w:val="005E2574"/>
    <w:rsid w:val="005E25E3"/>
    <w:rsid w:val="005E26BE"/>
    <w:rsid w:val="005E3134"/>
    <w:rsid w:val="005E3787"/>
    <w:rsid w:val="005E5848"/>
    <w:rsid w:val="005E591D"/>
    <w:rsid w:val="005E7673"/>
    <w:rsid w:val="005F0BB0"/>
    <w:rsid w:val="005F198C"/>
    <w:rsid w:val="005F2EA9"/>
    <w:rsid w:val="005F3F57"/>
    <w:rsid w:val="005F3FCD"/>
    <w:rsid w:val="005F506B"/>
    <w:rsid w:val="005F5B38"/>
    <w:rsid w:val="005F5D71"/>
    <w:rsid w:val="005F6A67"/>
    <w:rsid w:val="005F74C2"/>
    <w:rsid w:val="00601111"/>
    <w:rsid w:val="006015F8"/>
    <w:rsid w:val="00601705"/>
    <w:rsid w:val="0060196F"/>
    <w:rsid w:val="00601F46"/>
    <w:rsid w:val="006026BD"/>
    <w:rsid w:val="00602990"/>
    <w:rsid w:val="0060451B"/>
    <w:rsid w:val="0060508C"/>
    <w:rsid w:val="006053C2"/>
    <w:rsid w:val="006066F2"/>
    <w:rsid w:val="00606A05"/>
    <w:rsid w:val="00606BE8"/>
    <w:rsid w:val="006072A9"/>
    <w:rsid w:val="006076E2"/>
    <w:rsid w:val="0061111A"/>
    <w:rsid w:val="0061191F"/>
    <w:rsid w:val="006119D5"/>
    <w:rsid w:val="00611E89"/>
    <w:rsid w:val="00612CE2"/>
    <w:rsid w:val="00612E85"/>
    <w:rsid w:val="00613496"/>
    <w:rsid w:val="00613783"/>
    <w:rsid w:val="00613B47"/>
    <w:rsid w:val="00615F21"/>
    <w:rsid w:val="0061607A"/>
    <w:rsid w:val="00616155"/>
    <w:rsid w:val="00616D23"/>
    <w:rsid w:val="006246CF"/>
    <w:rsid w:val="00624884"/>
    <w:rsid w:val="00624B96"/>
    <w:rsid w:val="006251E6"/>
    <w:rsid w:val="006251EB"/>
    <w:rsid w:val="00626731"/>
    <w:rsid w:val="00626898"/>
    <w:rsid w:val="00627542"/>
    <w:rsid w:val="00627916"/>
    <w:rsid w:val="00630ADE"/>
    <w:rsid w:val="00631271"/>
    <w:rsid w:val="006323D1"/>
    <w:rsid w:val="00632D4D"/>
    <w:rsid w:val="00634A71"/>
    <w:rsid w:val="00634D43"/>
    <w:rsid w:val="00635F82"/>
    <w:rsid w:val="00636939"/>
    <w:rsid w:val="00636A4E"/>
    <w:rsid w:val="006376F2"/>
    <w:rsid w:val="006378D6"/>
    <w:rsid w:val="00640125"/>
    <w:rsid w:val="0064125A"/>
    <w:rsid w:val="00641B3E"/>
    <w:rsid w:val="00641F95"/>
    <w:rsid w:val="0064265D"/>
    <w:rsid w:val="006443FE"/>
    <w:rsid w:val="00644D21"/>
    <w:rsid w:val="006465E8"/>
    <w:rsid w:val="006466F0"/>
    <w:rsid w:val="006467E2"/>
    <w:rsid w:val="0064766C"/>
    <w:rsid w:val="00651780"/>
    <w:rsid w:val="00651BC4"/>
    <w:rsid w:val="006525D4"/>
    <w:rsid w:val="00652D65"/>
    <w:rsid w:val="00653E89"/>
    <w:rsid w:val="0065433D"/>
    <w:rsid w:val="00655288"/>
    <w:rsid w:val="00655D78"/>
    <w:rsid w:val="006608F1"/>
    <w:rsid w:val="0066109B"/>
    <w:rsid w:val="00662DF3"/>
    <w:rsid w:val="0066382B"/>
    <w:rsid w:val="0066432E"/>
    <w:rsid w:val="00664F17"/>
    <w:rsid w:val="006652BC"/>
    <w:rsid w:val="006655A7"/>
    <w:rsid w:val="006655E2"/>
    <w:rsid w:val="0066681B"/>
    <w:rsid w:val="00666A2A"/>
    <w:rsid w:val="00666D0A"/>
    <w:rsid w:val="006672F4"/>
    <w:rsid w:val="006702A9"/>
    <w:rsid w:val="006718BB"/>
    <w:rsid w:val="00671B44"/>
    <w:rsid w:val="00672152"/>
    <w:rsid w:val="00673CC6"/>
    <w:rsid w:val="006740EF"/>
    <w:rsid w:val="006751F2"/>
    <w:rsid w:val="00675431"/>
    <w:rsid w:val="0067565D"/>
    <w:rsid w:val="00676010"/>
    <w:rsid w:val="00677D06"/>
    <w:rsid w:val="00677D43"/>
    <w:rsid w:val="00680107"/>
    <w:rsid w:val="00680198"/>
    <w:rsid w:val="00680935"/>
    <w:rsid w:val="00681EC9"/>
    <w:rsid w:val="00683DB0"/>
    <w:rsid w:val="00684A2B"/>
    <w:rsid w:val="00684D75"/>
    <w:rsid w:val="0068576E"/>
    <w:rsid w:val="00685FDF"/>
    <w:rsid w:val="006866DA"/>
    <w:rsid w:val="00691B3A"/>
    <w:rsid w:val="006934F8"/>
    <w:rsid w:val="00693C7D"/>
    <w:rsid w:val="0069420A"/>
    <w:rsid w:val="00694D91"/>
    <w:rsid w:val="006965A7"/>
    <w:rsid w:val="0069687F"/>
    <w:rsid w:val="00697C16"/>
    <w:rsid w:val="006A2086"/>
    <w:rsid w:val="006A252C"/>
    <w:rsid w:val="006A2760"/>
    <w:rsid w:val="006A4FD8"/>
    <w:rsid w:val="006A5F36"/>
    <w:rsid w:val="006A62AB"/>
    <w:rsid w:val="006A6844"/>
    <w:rsid w:val="006A6B55"/>
    <w:rsid w:val="006B24A0"/>
    <w:rsid w:val="006B2703"/>
    <w:rsid w:val="006B3CE2"/>
    <w:rsid w:val="006B3D86"/>
    <w:rsid w:val="006B4D86"/>
    <w:rsid w:val="006B4FD6"/>
    <w:rsid w:val="006B590B"/>
    <w:rsid w:val="006B591B"/>
    <w:rsid w:val="006B5AA7"/>
    <w:rsid w:val="006B5FC3"/>
    <w:rsid w:val="006B6308"/>
    <w:rsid w:val="006B7A8E"/>
    <w:rsid w:val="006B7B0F"/>
    <w:rsid w:val="006C01FE"/>
    <w:rsid w:val="006C0331"/>
    <w:rsid w:val="006C06FC"/>
    <w:rsid w:val="006C0EDF"/>
    <w:rsid w:val="006C17A3"/>
    <w:rsid w:val="006C57E0"/>
    <w:rsid w:val="006C58E8"/>
    <w:rsid w:val="006C5D0C"/>
    <w:rsid w:val="006C5D2A"/>
    <w:rsid w:val="006C64D9"/>
    <w:rsid w:val="006C6A79"/>
    <w:rsid w:val="006D1A39"/>
    <w:rsid w:val="006D25DB"/>
    <w:rsid w:val="006D399B"/>
    <w:rsid w:val="006D4320"/>
    <w:rsid w:val="006D4DDF"/>
    <w:rsid w:val="006D529E"/>
    <w:rsid w:val="006D5DF3"/>
    <w:rsid w:val="006D6D37"/>
    <w:rsid w:val="006D72FA"/>
    <w:rsid w:val="006E04FA"/>
    <w:rsid w:val="006E1278"/>
    <w:rsid w:val="006E1594"/>
    <w:rsid w:val="006E1614"/>
    <w:rsid w:val="006E1854"/>
    <w:rsid w:val="006E278D"/>
    <w:rsid w:val="006E416A"/>
    <w:rsid w:val="006E4278"/>
    <w:rsid w:val="006E44BD"/>
    <w:rsid w:val="006E46D2"/>
    <w:rsid w:val="006E4F84"/>
    <w:rsid w:val="006E6606"/>
    <w:rsid w:val="006E6F72"/>
    <w:rsid w:val="006E7CC6"/>
    <w:rsid w:val="006F0AF4"/>
    <w:rsid w:val="006F14B5"/>
    <w:rsid w:val="006F1B2E"/>
    <w:rsid w:val="006F31CE"/>
    <w:rsid w:val="006F38E0"/>
    <w:rsid w:val="006F3D4D"/>
    <w:rsid w:val="006F646D"/>
    <w:rsid w:val="006F7032"/>
    <w:rsid w:val="0070047A"/>
    <w:rsid w:val="00700793"/>
    <w:rsid w:val="007016EE"/>
    <w:rsid w:val="0070180B"/>
    <w:rsid w:val="00703168"/>
    <w:rsid w:val="007040EB"/>
    <w:rsid w:val="00704121"/>
    <w:rsid w:val="0070414A"/>
    <w:rsid w:val="007049AC"/>
    <w:rsid w:val="007050B6"/>
    <w:rsid w:val="00706B4C"/>
    <w:rsid w:val="00707287"/>
    <w:rsid w:val="00707318"/>
    <w:rsid w:val="00707C67"/>
    <w:rsid w:val="00711ACA"/>
    <w:rsid w:val="00712238"/>
    <w:rsid w:val="00712CC6"/>
    <w:rsid w:val="00713512"/>
    <w:rsid w:val="007147CD"/>
    <w:rsid w:val="00714FDE"/>
    <w:rsid w:val="007152A6"/>
    <w:rsid w:val="00715563"/>
    <w:rsid w:val="0071727E"/>
    <w:rsid w:val="0071752D"/>
    <w:rsid w:val="00720C3A"/>
    <w:rsid w:val="0072169E"/>
    <w:rsid w:val="00721A1F"/>
    <w:rsid w:val="00721CB7"/>
    <w:rsid w:val="0072207C"/>
    <w:rsid w:val="00723E51"/>
    <w:rsid w:val="007245B1"/>
    <w:rsid w:val="0072523E"/>
    <w:rsid w:val="0072661D"/>
    <w:rsid w:val="00726B3D"/>
    <w:rsid w:val="007270AC"/>
    <w:rsid w:val="007301DD"/>
    <w:rsid w:val="00732723"/>
    <w:rsid w:val="0073372E"/>
    <w:rsid w:val="00734A0A"/>
    <w:rsid w:val="00734B7A"/>
    <w:rsid w:val="00735636"/>
    <w:rsid w:val="007360CF"/>
    <w:rsid w:val="00742CA5"/>
    <w:rsid w:val="007435E2"/>
    <w:rsid w:val="007439E8"/>
    <w:rsid w:val="007443A3"/>
    <w:rsid w:val="007452FC"/>
    <w:rsid w:val="007466D1"/>
    <w:rsid w:val="007471C3"/>
    <w:rsid w:val="007516DD"/>
    <w:rsid w:val="007526C4"/>
    <w:rsid w:val="00752E39"/>
    <w:rsid w:val="00752F05"/>
    <w:rsid w:val="00753505"/>
    <w:rsid w:val="00754578"/>
    <w:rsid w:val="00755160"/>
    <w:rsid w:val="00755A04"/>
    <w:rsid w:val="00755DD0"/>
    <w:rsid w:val="00756555"/>
    <w:rsid w:val="00756B1B"/>
    <w:rsid w:val="00756CFB"/>
    <w:rsid w:val="00756E12"/>
    <w:rsid w:val="00756E60"/>
    <w:rsid w:val="007572F1"/>
    <w:rsid w:val="00757F65"/>
    <w:rsid w:val="007605F5"/>
    <w:rsid w:val="00760E61"/>
    <w:rsid w:val="00760FA9"/>
    <w:rsid w:val="007618AD"/>
    <w:rsid w:val="00761F0F"/>
    <w:rsid w:val="00762C37"/>
    <w:rsid w:val="007633DA"/>
    <w:rsid w:val="00763755"/>
    <w:rsid w:val="00763BB2"/>
    <w:rsid w:val="0076518F"/>
    <w:rsid w:val="0076716C"/>
    <w:rsid w:val="0076742A"/>
    <w:rsid w:val="007678CA"/>
    <w:rsid w:val="00767BAC"/>
    <w:rsid w:val="00767E15"/>
    <w:rsid w:val="00770643"/>
    <w:rsid w:val="0077111B"/>
    <w:rsid w:val="00771181"/>
    <w:rsid w:val="00771799"/>
    <w:rsid w:val="00771817"/>
    <w:rsid w:val="00771DBD"/>
    <w:rsid w:val="00771E9B"/>
    <w:rsid w:val="00772376"/>
    <w:rsid w:val="00773BBD"/>
    <w:rsid w:val="00777457"/>
    <w:rsid w:val="0078040B"/>
    <w:rsid w:val="00780793"/>
    <w:rsid w:val="00780F1A"/>
    <w:rsid w:val="00781673"/>
    <w:rsid w:val="0078311C"/>
    <w:rsid w:val="007836FE"/>
    <w:rsid w:val="007843FB"/>
    <w:rsid w:val="00784C16"/>
    <w:rsid w:val="007854CA"/>
    <w:rsid w:val="00785854"/>
    <w:rsid w:val="007858D5"/>
    <w:rsid w:val="00786823"/>
    <w:rsid w:val="007908F4"/>
    <w:rsid w:val="007939BC"/>
    <w:rsid w:val="00794510"/>
    <w:rsid w:val="0079478C"/>
    <w:rsid w:val="007948C4"/>
    <w:rsid w:val="007957E0"/>
    <w:rsid w:val="00795A51"/>
    <w:rsid w:val="00797F0A"/>
    <w:rsid w:val="007A16D8"/>
    <w:rsid w:val="007A1C57"/>
    <w:rsid w:val="007A1D25"/>
    <w:rsid w:val="007A2370"/>
    <w:rsid w:val="007A2674"/>
    <w:rsid w:val="007A2ECE"/>
    <w:rsid w:val="007A43C0"/>
    <w:rsid w:val="007A4D7C"/>
    <w:rsid w:val="007A4E50"/>
    <w:rsid w:val="007A5CBD"/>
    <w:rsid w:val="007A70B6"/>
    <w:rsid w:val="007A79A5"/>
    <w:rsid w:val="007A7B9B"/>
    <w:rsid w:val="007B0184"/>
    <w:rsid w:val="007B1468"/>
    <w:rsid w:val="007B1550"/>
    <w:rsid w:val="007B18B8"/>
    <w:rsid w:val="007B20D2"/>
    <w:rsid w:val="007B3390"/>
    <w:rsid w:val="007B39A0"/>
    <w:rsid w:val="007B3C95"/>
    <w:rsid w:val="007B40FC"/>
    <w:rsid w:val="007B66B2"/>
    <w:rsid w:val="007B67A0"/>
    <w:rsid w:val="007B7375"/>
    <w:rsid w:val="007B759E"/>
    <w:rsid w:val="007C04A2"/>
    <w:rsid w:val="007C04B9"/>
    <w:rsid w:val="007C2192"/>
    <w:rsid w:val="007C3589"/>
    <w:rsid w:val="007C3EB2"/>
    <w:rsid w:val="007C42B8"/>
    <w:rsid w:val="007C45EE"/>
    <w:rsid w:val="007C5668"/>
    <w:rsid w:val="007C56F7"/>
    <w:rsid w:val="007C60E2"/>
    <w:rsid w:val="007C6626"/>
    <w:rsid w:val="007C6A8A"/>
    <w:rsid w:val="007C76B4"/>
    <w:rsid w:val="007C7814"/>
    <w:rsid w:val="007D0B82"/>
    <w:rsid w:val="007D0E19"/>
    <w:rsid w:val="007D1198"/>
    <w:rsid w:val="007D222C"/>
    <w:rsid w:val="007D30B5"/>
    <w:rsid w:val="007D4054"/>
    <w:rsid w:val="007D415E"/>
    <w:rsid w:val="007D43F1"/>
    <w:rsid w:val="007D4AB6"/>
    <w:rsid w:val="007D4C7C"/>
    <w:rsid w:val="007E0D1B"/>
    <w:rsid w:val="007E1A8C"/>
    <w:rsid w:val="007E2F25"/>
    <w:rsid w:val="007E2F55"/>
    <w:rsid w:val="007E3D98"/>
    <w:rsid w:val="007E4183"/>
    <w:rsid w:val="007E460C"/>
    <w:rsid w:val="007E46E2"/>
    <w:rsid w:val="007E5348"/>
    <w:rsid w:val="007E6739"/>
    <w:rsid w:val="007E7C43"/>
    <w:rsid w:val="007F0767"/>
    <w:rsid w:val="007F1511"/>
    <w:rsid w:val="007F169E"/>
    <w:rsid w:val="007F1C8D"/>
    <w:rsid w:val="007F2005"/>
    <w:rsid w:val="007F24C1"/>
    <w:rsid w:val="007F2A61"/>
    <w:rsid w:val="007F36F6"/>
    <w:rsid w:val="007F38B2"/>
    <w:rsid w:val="007F3FEE"/>
    <w:rsid w:val="007F4C7A"/>
    <w:rsid w:val="007F5280"/>
    <w:rsid w:val="007F54BF"/>
    <w:rsid w:val="007F54FD"/>
    <w:rsid w:val="007F5A1C"/>
    <w:rsid w:val="007F711D"/>
    <w:rsid w:val="007F7243"/>
    <w:rsid w:val="007F7414"/>
    <w:rsid w:val="007F78FC"/>
    <w:rsid w:val="007F7C85"/>
    <w:rsid w:val="0080060C"/>
    <w:rsid w:val="00802411"/>
    <w:rsid w:val="00803F21"/>
    <w:rsid w:val="00806246"/>
    <w:rsid w:val="008077FC"/>
    <w:rsid w:val="00807886"/>
    <w:rsid w:val="00810240"/>
    <w:rsid w:val="008102CD"/>
    <w:rsid w:val="00810B79"/>
    <w:rsid w:val="00811C34"/>
    <w:rsid w:val="00812282"/>
    <w:rsid w:val="00815280"/>
    <w:rsid w:val="008156C8"/>
    <w:rsid w:val="0081588E"/>
    <w:rsid w:val="0081638B"/>
    <w:rsid w:val="008176AE"/>
    <w:rsid w:val="00817E53"/>
    <w:rsid w:val="00817E57"/>
    <w:rsid w:val="008207AC"/>
    <w:rsid w:val="00822D57"/>
    <w:rsid w:val="00823585"/>
    <w:rsid w:val="00823BAD"/>
    <w:rsid w:val="00824725"/>
    <w:rsid w:val="00824A13"/>
    <w:rsid w:val="00826331"/>
    <w:rsid w:val="00826860"/>
    <w:rsid w:val="008278BF"/>
    <w:rsid w:val="00827B1C"/>
    <w:rsid w:val="0083122B"/>
    <w:rsid w:val="00833302"/>
    <w:rsid w:val="0083429F"/>
    <w:rsid w:val="00834658"/>
    <w:rsid w:val="00836269"/>
    <w:rsid w:val="00836A80"/>
    <w:rsid w:val="00837A44"/>
    <w:rsid w:val="00837C53"/>
    <w:rsid w:val="00840C3F"/>
    <w:rsid w:val="00840EFA"/>
    <w:rsid w:val="008411EC"/>
    <w:rsid w:val="00842289"/>
    <w:rsid w:val="00842C99"/>
    <w:rsid w:val="0084355D"/>
    <w:rsid w:val="008439C6"/>
    <w:rsid w:val="00844FC6"/>
    <w:rsid w:val="008459CF"/>
    <w:rsid w:val="0084702E"/>
    <w:rsid w:val="008473A8"/>
    <w:rsid w:val="00850FE3"/>
    <w:rsid w:val="008512FB"/>
    <w:rsid w:val="008513C2"/>
    <w:rsid w:val="008517CA"/>
    <w:rsid w:val="00851AA2"/>
    <w:rsid w:val="00851C6E"/>
    <w:rsid w:val="00851DE0"/>
    <w:rsid w:val="008522B2"/>
    <w:rsid w:val="00852A7F"/>
    <w:rsid w:val="0085325B"/>
    <w:rsid w:val="00853D60"/>
    <w:rsid w:val="00855834"/>
    <w:rsid w:val="00860F56"/>
    <w:rsid w:val="00860F78"/>
    <w:rsid w:val="00861DF3"/>
    <w:rsid w:val="00861FCB"/>
    <w:rsid w:val="00863071"/>
    <w:rsid w:val="00864864"/>
    <w:rsid w:val="00864B6B"/>
    <w:rsid w:val="00864BF5"/>
    <w:rsid w:val="00865355"/>
    <w:rsid w:val="00865925"/>
    <w:rsid w:val="00865B44"/>
    <w:rsid w:val="00866756"/>
    <w:rsid w:val="00867300"/>
    <w:rsid w:val="0086784B"/>
    <w:rsid w:val="00867F0F"/>
    <w:rsid w:val="00870B4D"/>
    <w:rsid w:val="00871072"/>
    <w:rsid w:val="0087184A"/>
    <w:rsid w:val="00871BC3"/>
    <w:rsid w:val="00871DC3"/>
    <w:rsid w:val="0087339E"/>
    <w:rsid w:val="00873536"/>
    <w:rsid w:val="008740C8"/>
    <w:rsid w:val="00875836"/>
    <w:rsid w:val="008759A1"/>
    <w:rsid w:val="00876236"/>
    <w:rsid w:val="008773A9"/>
    <w:rsid w:val="00877655"/>
    <w:rsid w:val="00877B7F"/>
    <w:rsid w:val="008823AF"/>
    <w:rsid w:val="00883B45"/>
    <w:rsid w:val="00883FD8"/>
    <w:rsid w:val="008841C4"/>
    <w:rsid w:val="008841DD"/>
    <w:rsid w:val="00884254"/>
    <w:rsid w:val="00884AFA"/>
    <w:rsid w:val="008864BE"/>
    <w:rsid w:val="008866B4"/>
    <w:rsid w:val="0089362E"/>
    <w:rsid w:val="008942E4"/>
    <w:rsid w:val="00894405"/>
    <w:rsid w:val="008945ED"/>
    <w:rsid w:val="0089469D"/>
    <w:rsid w:val="00895211"/>
    <w:rsid w:val="008959CF"/>
    <w:rsid w:val="00896416"/>
    <w:rsid w:val="0089666D"/>
    <w:rsid w:val="00897525"/>
    <w:rsid w:val="008A05DE"/>
    <w:rsid w:val="008A0A05"/>
    <w:rsid w:val="008A1134"/>
    <w:rsid w:val="008A129F"/>
    <w:rsid w:val="008A2088"/>
    <w:rsid w:val="008A29F8"/>
    <w:rsid w:val="008A2A19"/>
    <w:rsid w:val="008A2B93"/>
    <w:rsid w:val="008A32A3"/>
    <w:rsid w:val="008A376C"/>
    <w:rsid w:val="008A4B67"/>
    <w:rsid w:val="008A4E87"/>
    <w:rsid w:val="008A59C7"/>
    <w:rsid w:val="008A636F"/>
    <w:rsid w:val="008A6798"/>
    <w:rsid w:val="008A6D96"/>
    <w:rsid w:val="008B0EB3"/>
    <w:rsid w:val="008B262E"/>
    <w:rsid w:val="008B330E"/>
    <w:rsid w:val="008B358C"/>
    <w:rsid w:val="008B4781"/>
    <w:rsid w:val="008B5692"/>
    <w:rsid w:val="008B741E"/>
    <w:rsid w:val="008B743A"/>
    <w:rsid w:val="008B7582"/>
    <w:rsid w:val="008C05E3"/>
    <w:rsid w:val="008C062D"/>
    <w:rsid w:val="008C0E9D"/>
    <w:rsid w:val="008C1042"/>
    <w:rsid w:val="008C2178"/>
    <w:rsid w:val="008C35D4"/>
    <w:rsid w:val="008C477B"/>
    <w:rsid w:val="008C4B6D"/>
    <w:rsid w:val="008C5B4F"/>
    <w:rsid w:val="008C75D5"/>
    <w:rsid w:val="008C784E"/>
    <w:rsid w:val="008D0248"/>
    <w:rsid w:val="008D08B8"/>
    <w:rsid w:val="008D0A35"/>
    <w:rsid w:val="008D3CEC"/>
    <w:rsid w:val="008D3E9D"/>
    <w:rsid w:val="008D441C"/>
    <w:rsid w:val="008D4E7A"/>
    <w:rsid w:val="008D58FF"/>
    <w:rsid w:val="008D6665"/>
    <w:rsid w:val="008D6692"/>
    <w:rsid w:val="008D6D7E"/>
    <w:rsid w:val="008D7122"/>
    <w:rsid w:val="008E0085"/>
    <w:rsid w:val="008E0165"/>
    <w:rsid w:val="008E0A3A"/>
    <w:rsid w:val="008E0F28"/>
    <w:rsid w:val="008E2AF7"/>
    <w:rsid w:val="008E2EE9"/>
    <w:rsid w:val="008E3948"/>
    <w:rsid w:val="008E5345"/>
    <w:rsid w:val="008E57D9"/>
    <w:rsid w:val="008E604B"/>
    <w:rsid w:val="008E672B"/>
    <w:rsid w:val="008E6F1B"/>
    <w:rsid w:val="008E77F5"/>
    <w:rsid w:val="008F054C"/>
    <w:rsid w:val="008F0AFA"/>
    <w:rsid w:val="008F119E"/>
    <w:rsid w:val="008F1330"/>
    <w:rsid w:val="008F240D"/>
    <w:rsid w:val="008F300A"/>
    <w:rsid w:val="008F30CF"/>
    <w:rsid w:val="008F31DB"/>
    <w:rsid w:val="008F4029"/>
    <w:rsid w:val="008F4E48"/>
    <w:rsid w:val="008F522E"/>
    <w:rsid w:val="008F765F"/>
    <w:rsid w:val="008F795C"/>
    <w:rsid w:val="0090068B"/>
    <w:rsid w:val="00900D3C"/>
    <w:rsid w:val="00901095"/>
    <w:rsid w:val="00901854"/>
    <w:rsid w:val="00901932"/>
    <w:rsid w:val="00901BFA"/>
    <w:rsid w:val="0090431E"/>
    <w:rsid w:val="00904B68"/>
    <w:rsid w:val="0090524C"/>
    <w:rsid w:val="00905695"/>
    <w:rsid w:val="00905882"/>
    <w:rsid w:val="00905F72"/>
    <w:rsid w:val="00906214"/>
    <w:rsid w:val="009066D4"/>
    <w:rsid w:val="0090736E"/>
    <w:rsid w:val="00907500"/>
    <w:rsid w:val="00912571"/>
    <w:rsid w:val="009133A9"/>
    <w:rsid w:val="00913CF8"/>
    <w:rsid w:val="009149F2"/>
    <w:rsid w:val="00915178"/>
    <w:rsid w:val="00915FEF"/>
    <w:rsid w:val="00917FB3"/>
    <w:rsid w:val="009212F6"/>
    <w:rsid w:val="00921E9C"/>
    <w:rsid w:val="0092322B"/>
    <w:rsid w:val="00925769"/>
    <w:rsid w:val="00925DB6"/>
    <w:rsid w:val="00925F3C"/>
    <w:rsid w:val="00926856"/>
    <w:rsid w:val="00927562"/>
    <w:rsid w:val="00930F24"/>
    <w:rsid w:val="00931F80"/>
    <w:rsid w:val="00932C80"/>
    <w:rsid w:val="009334FF"/>
    <w:rsid w:val="0093499C"/>
    <w:rsid w:val="00934B17"/>
    <w:rsid w:val="00941CF8"/>
    <w:rsid w:val="00942244"/>
    <w:rsid w:val="00943264"/>
    <w:rsid w:val="009433C2"/>
    <w:rsid w:val="009451F2"/>
    <w:rsid w:val="009453E7"/>
    <w:rsid w:val="00947B18"/>
    <w:rsid w:val="00950966"/>
    <w:rsid w:val="00950C72"/>
    <w:rsid w:val="0095113D"/>
    <w:rsid w:val="00951D97"/>
    <w:rsid w:val="009522B7"/>
    <w:rsid w:val="009540D8"/>
    <w:rsid w:val="009541DE"/>
    <w:rsid w:val="00954451"/>
    <w:rsid w:val="00956DEA"/>
    <w:rsid w:val="009570F4"/>
    <w:rsid w:val="00957B87"/>
    <w:rsid w:val="00961661"/>
    <w:rsid w:val="00962388"/>
    <w:rsid w:val="0096303E"/>
    <w:rsid w:val="0096529C"/>
    <w:rsid w:val="00965475"/>
    <w:rsid w:val="0096663C"/>
    <w:rsid w:val="00966B64"/>
    <w:rsid w:val="009674BF"/>
    <w:rsid w:val="009704B1"/>
    <w:rsid w:val="00970B92"/>
    <w:rsid w:val="00972EB6"/>
    <w:rsid w:val="00972F7D"/>
    <w:rsid w:val="009755E3"/>
    <w:rsid w:val="00975BCB"/>
    <w:rsid w:val="00975F38"/>
    <w:rsid w:val="00977289"/>
    <w:rsid w:val="0098020A"/>
    <w:rsid w:val="00980A17"/>
    <w:rsid w:val="00980C7E"/>
    <w:rsid w:val="00983218"/>
    <w:rsid w:val="00983563"/>
    <w:rsid w:val="00986EE1"/>
    <w:rsid w:val="009874C4"/>
    <w:rsid w:val="009878AE"/>
    <w:rsid w:val="00990838"/>
    <w:rsid w:val="00990B92"/>
    <w:rsid w:val="009910DC"/>
    <w:rsid w:val="00991267"/>
    <w:rsid w:val="00993411"/>
    <w:rsid w:val="009946F5"/>
    <w:rsid w:val="0099520B"/>
    <w:rsid w:val="0099721A"/>
    <w:rsid w:val="00997D25"/>
    <w:rsid w:val="009A0845"/>
    <w:rsid w:val="009A0AA2"/>
    <w:rsid w:val="009A0C81"/>
    <w:rsid w:val="009A0F1A"/>
    <w:rsid w:val="009A247B"/>
    <w:rsid w:val="009A41E6"/>
    <w:rsid w:val="009A48B6"/>
    <w:rsid w:val="009B1393"/>
    <w:rsid w:val="009B13B1"/>
    <w:rsid w:val="009B165E"/>
    <w:rsid w:val="009B2452"/>
    <w:rsid w:val="009B3203"/>
    <w:rsid w:val="009B3958"/>
    <w:rsid w:val="009B4412"/>
    <w:rsid w:val="009B4501"/>
    <w:rsid w:val="009B4C15"/>
    <w:rsid w:val="009B4C3F"/>
    <w:rsid w:val="009B510A"/>
    <w:rsid w:val="009B5AAD"/>
    <w:rsid w:val="009B6BA5"/>
    <w:rsid w:val="009C055C"/>
    <w:rsid w:val="009C05DA"/>
    <w:rsid w:val="009C0A87"/>
    <w:rsid w:val="009C0A98"/>
    <w:rsid w:val="009C1476"/>
    <w:rsid w:val="009C1611"/>
    <w:rsid w:val="009C2441"/>
    <w:rsid w:val="009C3060"/>
    <w:rsid w:val="009C3ACF"/>
    <w:rsid w:val="009C43F4"/>
    <w:rsid w:val="009C4AE0"/>
    <w:rsid w:val="009C5D2E"/>
    <w:rsid w:val="009C6325"/>
    <w:rsid w:val="009C6A88"/>
    <w:rsid w:val="009D1524"/>
    <w:rsid w:val="009D233E"/>
    <w:rsid w:val="009D2410"/>
    <w:rsid w:val="009D2C2D"/>
    <w:rsid w:val="009D3A14"/>
    <w:rsid w:val="009D3DBE"/>
    <w:rsid w:val="009D4A9B"/>
    <w:rsid w:val="009D4AD8"/>
    <w:rsid w:val="009D6DBD"/>
    <w:rsid w:val="009D7298"/>
    <w:rsid w:val="009D7371"/>
    <w:rsid w:val="009E09DD"/>
    <w:rsid w:val="009E1459"/>
    <w:rsid w:val="009E1F83"/>
    <w:rsid w:val="009E2410"/>
    <w:rsid w:val="009E3B12"/>
    <w:rsid w:val="009E52B2"/>
    <w:rsid w:val="009E5529"/>
    <w:rsid w:val="009E7628"/>
    <w:rsid w:val="009F032E"/>
    <w:rsid w:val="009F0E51"/>
    <w:rsid w:val="009F173A"/>
    <w:rsid w:val="009F1E40"/>
    <w:rsid w:val="009F212A"/>
    <w:rsid w:val="009F30F4"/>
    <w:rsid w:val="009F386D"/>
    <w:rsid w:val="009F3DF6"/>
    <w:rsid w:val="009F473D"/>
    <w:rsid w:val="009F49B1"/>
    <w:rsid w:val="009F6FE0"/>
    <w:rsid w:val="009F705B"/>
    <w:rsid w:val="009F71BE"/>
    <w:rsid w:val="009F7C63"/>
    <w:rsid w:val="00A00746"/>
    <w:rsid w:val="00A0136B"/>
    <w:rsid w:val="00A01C02"/>
    <w:rsid w:val="00A01CB8"/>
    <w:rsid w:val="00A03243"/>
    <w:rsid w:val="00A032B2"/>
    <w:rsid w:val="00A0498A"/>
    <w:rsid w:val="00A058C4"/>
    <w:rsid w:val="00A05E8B"/>
    <w:rsid w:val="00A06412"/>
    <w:rsid w:val="00A068F3"/>
    <w:rsid w:val="00A0737C"/>
    <w:rsid w:val="00A115C5"/>
    <w:rsid w:val="00A11F9D"/>
    <w:rsid w:val="00A126AE"/>
    <w:rsid w:val="00A12AC4"/>
    <w:rsid w:val="00A13750"/>
    <w:rsid w:val="00A17CAC"/>
    <w:rsid w:val="00A17EEF"/>
    <w:rsid w:val="00A2065A"/>
    <w:rsid w:val="00A20739"/>
    <w:rsid w:val="00A2123A"/>
    <w:rsid w:val="00A21A20"/>
    <w:rsid w:val="00A22348"/>
    <w:rsid w:val="00A224A7"/>
    <w:rsid w:val="00A2352B"/>
    <w:rsid w:val="00A23C8E"/>
    <w:rsid w:val="00A2435F"/>
    <w:rsid w:val="00A245AD"/>
    <w:rsid w:val="00A25867"/>
    <w:rsid w:val="00A2693B"/>
    <w:rsid w:val="00A27B2E"/>
    <w:rsid w:val="00A27D70"/>
    <w:rsid w:val="00A27ECF"/>
    <w:rsid w:val="00A305D6"/>
    <w:rsid w:val="00A30F4E"/>
    <w:rsid w:val="00A31B1C"/>
    <w:rsid w:val="00A31F93"/>
    <w:rsid w:val="00A3265B"/>
    <w:rsid w:val="00A33EF1"/>
    <w:rsid w:val="00A34ACF"/>
    <w:rsid w:val="00A35838"/>
    <w:rsid w:val="00A35CC8"/>
    <w:rsid w:val="00A37823"/>
    <w:rsid w:val="00A37BC8"/>
    <w:rsid w:val="00A37C36"/>
    <w:rsid w:val="00A408B7"/>
    <w:rsid w:val="00A40AB8"/>
    <w:rsid w:val="00A41A72"/>
    <w:rsid w:val="00A42311"/>
    <w:rsid w:val="00A423D5"/>
    <w:rsid w:val="00A42628"/>
    <w:rsid w:val="00A432CA"/>
    <w:rsid w:val="00A436C1"/>
    <w:rsid w:val="00A438DC"/>
    <w:rsid w:val="00A43E56"/>
    <w:rsid w:val="00A45AB5"/>
    <w:rsid w:val="00A45B75"/>
    <w:rsid w:val="00A45F04"/>
    <w:rsid w:val="00A465DC"/>
    <w:rsid w:val="00A46CFE"/>
    <w:rsid w:val="00A471F6"/>
    <w:rsid w:val="00A475BD"/>
    <w:rsid w:val="00A47824"/>
    <w:rsid w:val="00A50FF2"/>
    <w:rsid w:val="00A518E1"/>
    <w:rsid w:val="00A5193F"/>
    <w:rsid w:val="00A51E20"/>
    <w:rsid w:val="00A52B8A"/>
    <w:rsid w:val="00A53433"/>
    <w:rsid w:val="00A54970"/>
    <w:rsid w:val="00A56CE6"/>
    <w:rsid w:val="00A618EA"/>
    <w:rsid w:val="00A6197B"/>
    <w:rsid w:val="00A6290E"/>
    <w:rsid w:val="00A62991"/>
    <w:rsid w:val="00A6321A"/>
    <w:rsid w:val="00A6391D"/>
    <w:rsid w:val="00A63C35"/>
    <w:rsid w:val="00A6457B"/>
    <w:rsid w:val="00A6485E"/>
    <w:rsid w:val="00A66084"/>
    <w:rsid w:val="00A670F1"/>
    <w:rsid w:val="00A671FB"/>
    <w:rsid w:val="00A6757D"/>
    <w:rsid w:val="00A67CEF"/>
    <w:rsid w:val="00A70327"/>
    <w:rsid w:val="00A71EE9"/>
    <w:rsid w:val="00A727A3"/>
    <w:rsid w:val="00A73307"/>
    <w:rsid w:val="00A73886"/>
    <w:rsid w:val="00A73D99"/>
    <w:rsid w:val="00A761B8"/>
    <w:rsid w:val="00A769AC"/>
    <w:rsid w:val="00A7713C"/>
    <w:rsid w:val="00A77468"/>
    <w:rsid w:val="00A77E42"/>
    <w:rsid w:val="00A803CE"/>
    <w:rsid w:val="00A806AD"/>
    <w:rsid w:val="00A807D5"/>
    <w:rsid w:val="00A80D7A"/>
    <w:rsid w:val="00A80ED0"/>
    <w:rsid w:val="00A814FC"/>
    <w:rsid w:val="00A8195D"/>
    <w:rsid w:val="00A81B93"/>
    <w:rsid w:val="00A838F8"/>
    <w:rsid w:val="00A83DAD"/>
    <w:rsid w:val="00A84B6D"/>
    <w:rsid w:val="00A85027"/>
    <w:rsid w:val="00A861AC"/>
    <w:rsid w:val="00A86257"/>
    <w:rsid w:val="00A86C75"/>
    <w:rsid w:val="00A872B7"/>
    <w:rsid w:val="00A87D3F"/>
    <w:rsid w:val="00A90F9F"/>
    <w:rsid w:val="00A91E30"/>
    <w:rsid w:val="00A920E0"/>
    <w:rsid w:val="00A92644"/>
    <w:rsid w:val="00A92A9F"/>
    <w:rsid w:val="00A93E24"/>
    <w:rsid w:val="00A94029"/>
    <w:rsid w:val="00A94183"/>
    <w:rsid w:val="00A9421F"/>
    <w:rsid w:val="00A95988"/>
    <w:rsid w:val="00A95A73"/>
    <w:rsid w:val="00A9668C"/>
    <w:rsid w:val="00A96800"/>
    <w:rsid w:val="00AA0069"/>
    <w:rsid w:val="00AA1223"/>
    <w:rsid w:val="00AA12D0"/>
    <w:rsid w:val="00AA1428"/>
    <w:rsid w:val="00AA2119"/>
    <w:rsid w:val="00AA2EFA"/>
    <w:rsid w:val="00AA3014"/>
    <w:rsid w:val="00AA34A4"/>
    <w:rsid w:val="00AA3806"/>
    <w:rsid w:val="00AA3B99"/>
    <w:rsid w:val="00AA42FE"/>
    <w:rsid w:val="00AA46BB"/>
    <w:rsid w:val="00AA4DEC"/>
    <w:rsid w:val="00AA58A8"/>
    <w:rsid w:val="00AA7255"/>
    <w:rsid w:val="00AA7CB7"/>
    <w:rsid w:val="00AB0F0E"/>
    <w:rsid w:val="00AB1770"/>
    <w:rsid w:val="00AB1A56"/>
    <w:rsid w:val="00AB2015"/>
    <w:rsid w:val="00AB32FA"/>
    <w:rsid w:val="00AB4EC7"/>
    <w:rsid w:val="00AB5E4B"/>
    <w:rsid w:val="00AB6AFC"/>
    <w:rsid w:val="00AB6BBB"/>
    <w:rsid w:val="00AB7EE0"/>
    <w:rsid w:val="00AC0610"/>
    <w:rsid w:val="00AC0658"/>
    <w:rsid w:val="00AC068D"/>
    <w:rsid w:val="00AC1628"/>
    <w:rsid w:val="00AC1EDC"/>
    <w:rsid w:val="00AC200A"/>
    <w:rsid w:val="00AC2CEE"/>
    <w:rsid w:val="00AC2D3A"/>
    <w:rsid w:val="00AC4C03"/>
    <w:rsid w:val="00AC4E8F"/>
    <w:rsid w:val="00AC67A6"/>
    <w:rsid w:val="00AC729D"/>
    <w:rsid w:val="00AC7AC0"/>
    <w:rsid w:val="00AD1297"/>
    <w:rsid w:val="00AD4154"/>
    <w:rsid w:val="00AD542C"/>
    <w:rsid w:val="00AD6063"/>
    <w:rsid w:val="00AD62B4"/>
    <w:rsid w:val="00AD683A"/>
    <w:rsid w:val="00AD6B2C"/>
    <w:rsid w:val="00AD7061"/>
    <w:rsid w:val="00AD70EC"/>
    <w:rsid w:val="00AD7451"/>
    <w:rsid w:val="00AD7FD8"/>
    <w:rsid w:val="00AE25D0"/>
    <w:rsid w:val="00AE2BEC"/>
    <w:rsid w:val="00AE3B7D"/>
    <w:rsid w:val="00AE4434"/>
    <w:rsid w:val="00AE57BA"/>
    <w:rsid w:val="00AE6D6B"/>
    <w:rsid w:val="00AE6F03"/>
    <w:rsid w:val="00AE7577"/>
    <w:rsid w:val="00AF0262"/>
    <w:rsid w:val="00AF0A5A"/>
    <w:rsid w:val="00AF0A9B"/>
    <w:rsid w:val="00AF1E72"/>
    <w:rsid w:val="00AF2152"/>
    <w:rsid w:val="00AF4626"/>
    <w:rsid w:val="00AF483B"/>
    <w:rsid w:val="00B00335"/>
    <w:rsid w:val="00B00DD4"/>
    <w:rsid w:val="00B00E30"/>
    <w:rsid w:val="00B00ECD"/>
    <w:rsid w:val="00B0103D"/>
    <w:rsid w:val="00B021D4"/>
    <w:rsid w:val="00B03903"/>
    <w:rsid w:val="00B0584D"/>
    <w:rsid w:val="00B05EEA"/>
    <w:rsid w:val="00B05F2E"/>
    <w:rsid w:val="00B0693C"/>
    <w:rsid w:val="00B06C6F"/>
    <w:rsid w:val="00B0709B"/>
    <w:rsid w:val="00B10B0E"/>
    <w:rsid w:val="00B10DCD"/>
    <w:rsid w:val="00B11000"/>
    <w:rsid w:val="00B11300"/>
    <w:rsid w:val="00B114BF"/>
    <w:rsid w:val="00B139CE"/>
    <w:rsid w:val="00B14230"/>
    <w:rsid w:val="00B1510F"/>
    <w:rsid w:val="00B17038"/>
    <w:rsid w:val="00B200CC"/>
    <w:rsid w:val="00B215C0"/>
    <w:rsid w:val="00B22127"/>
    <w:rsid w:val="00B22D13"/>
    <w:rsid w:val="00B22F12"/>
    <w:rsid w:val="00B234EC"/>
    <w:rsid w:val="00B23D40"/>
    <w:rsid w:val="00B25093"/>
    <w:rsid w:val="00B252D4"/>
    <w:rsid w:val="00B252EA"/>
    <w:rsid w:val="00B25CA7"/>
    <w:rsid w:val="00B261BF"/>
    <w:rsid w:val="00B26F46"/>
    <w:rsid w:val="00B2788B"/>
    <w:rsid w:val="00B3012A"/>
    <w:rsid w:val="00B32535"/>
    <w:rsid w:val="00B32592"/>
    <w:rsid w:val="00B3357F"/>
    <w:rsid w:val="00B34259"/>
    <w:rsid w:val="00B347A4"/>
    <w:rsid w:val="00B35584"/>
    <w:rsid w:val="00B3583E"/>
    <w:rsid w:val="00B35CDA"/>
    <w:rsid w:val="00B4231B"/>
    <w:rsid w:val="00B42396"/>
    <w:rsid w:val="00B4349F"/>
    <w:rsid w:val="00B4359E"/>
    <w:rsid w:val="00B43CCC"/>
    <w:rsid w:val="00B4574E"/>
    <w:rsid w:val="00B45C39"/>
    <w:rsid w:val="00B46EF4"/>
    <w:rsid w:val="00B47405"/>
    <w:rsid w:val="00B475C4"/>
    <w:rsid w:val="00B47D1F"/>
    <w:rsid w:val="00B51007"/>
    <w:rsid w:val="00B51739"/>
    <w:rsid w:val="00B525CE"/>
    <w:rsid w:val="00B525DC"/>
    <w:rsid w:val="00B53006"/>
    <w:rsid w:val="00B5330F"/>
    <w:rsid w:val="00B544E5"/>
    <w:rsid w:val="00B55D42"/>
    <w:rsid w:val="00B55FEC"/>
    <w:rsid w:val="00B56018"/>
    <w:rsid w:val="00B56487"/>
    <w:rsid w:val="00B56B07"/>
    <w:rsid w:val="00B5720A"/>
    <w:rsid w:val="00B60C02"/>
    <w:rsid w:val="00B61FBF"/>
    <w:rsid w:val="00B6203B"/>
    <w:rsid w:val="00B6253C"/>
    <w:rsid w:val="00B63759"/>
    <w:rsid w:val="00B63BB9"/>
    <w:rsid w:val="00B63DC8"/>
    <w:rsid w:val="00B64B49"/>
    <w:rsid w:val="00B6653C"/>
    <w:rsid w:val="00B666F7"/>
    <w:rsid w:val="00B70D69"/>
    <w:rsid w:val="00B70F0E"/>
    <w:rsid w:val="00B733A2"/>
    <w:rsid w:val="00B73607"/>
    <w:rsid w:val="00B7360A"/>
    <w:rsid w:val="00B74497"/>
    <w:rsid w:val="00B75783"/>
    <w:rsid w:val="00B76282"/>
    <w:rsid w:val="00B76C40"/>
    <w:rsid w:val="00B76CE9"/>
    <w:rsid w:val="00B80618"/>
    <w:rsid w:val="00B81072"/>
    <w:rsid w:val="00B8131D"/>
    <w:rsid w:val="00B820FC"/>
    <w:rsid w:val="00B821DF"/>
    <w:rsid w:val="00B82B6C"/>
    <w:rsid w:val="00B850D0"/>
    <w:rsid w:val="00B860B4"/>
    <w:rsid w:val="00B8677F"/>
    <w:rsid w:val="00B870F2"/>
    <w:rsid w:val="00B87132"/>
    <w:rsid w:val="00B913BC"/>
    <w:rsid w:val="00B91C2F"/>
    <w:rsid w:val="00B92108"/>
    <w:rsid w:val="00B924FC"/>
    <w:rsid w:val="00B92919"/>
    <w:rsid w:val="00B932D3"/>
    <w:rsid w:val="00B93923"/>
    <w:rsid w:val="00B93BF8"/>
    <w:rsid w:val="00B93DCB"/>
    <w:rsid w:val="00B940E6"/>
    <w:rsid w:val="00B944A4"/>
    <w:rsid w:val="00B94ACB"/>
    <w:rsid w:val="00B95CF6"/>
    <w:rsid w:val="00B95D59"/>
    <w:rsid w:val="00B96FDB"/>
    <w:rsid w:val="00B972A8"/>
    <w:rsid w:val="00B97948"/>
    <w:rsid w:val="00BA0CB1"/>
    <w:rsid w:val="00BA1583"/>
    <w:rsid w:val="00BA5418"/>
    <w:rsid w:val="00BA59B9"/>
    <w:rsid w:val="00BA5C2E"/>
    <w:rsid w:val="00BA69DD"/>
    <w:rsid w:val="00BA69F5"/>
    <w:rsid w:val="00BA6EEE"/>
    <w:rsid w:val="00BA781A"/>
    <w:rsid w:val="00BB068B"/>
    <w:rsid w:val="00BB0A8D"/>
    <w:rsid w:val="00BB1F99"/>
    <w:rsid w:val="00BB2948"/>
    <w:rsid w:val="00BB3497"/>
    <w:rsid w:val="00BB4DB1"/>
    <w:rsid w:val="00BB5669"/>
    <w:rsid w:val="00BC0121"/>
    <w:rsid w:val="00BC085F"/>
    <w:rsid w:val="00BC0AD9"/>
    <w:rsid w:val="00BC14A3"/>
    <w:rsid w:val="00BC1660"/>
    <w:rsid w:val="00BC1B40"/>
    <w:rsid w:val="00BC5CDD"/>
    <w:rsid w:val="00BC79A3"/>
    <w:rsid w:val="00BD1342"/>
    <w:rsid w:val="00BD2D6C"/>
    <w:rsid w:val="00BD60BD"/>
    <w:rsid w:val="00BD6BA6"/>
    <w:rsid w:val="00BD72F2"/>
    <w:rsid w:val="00BE0700"/>
    <w:rsid w:val="00BE0AE6"/>
    <w:rsid w:val="00BE1422"/>
    <w:rsid w:val="00BE2300"/>
    <w:rsid w:val="00BE2906"/>
    <w:rsid w:val="00BE3A03"/>
    <w:rsid w:val="00BE3F7A"/>
    <w:rsid w:val="00BE4BDB"/>
    <w:rsid w:val="00BE50B0"/>
    <w:rsid w:val="00BE573B"/>
    <w:rsid w:val="00BE5DB5"/>
    <w:rsid w:val="00BE698E"/>
    <w:rsid w:val="00BE7374"/>
    <w:rsid w:val="00BF0ABE"/>
    <w:rsid w:val="00BF1358"/>
    <w:rsid w:val="00BF1C20"/>
    <w:rsid w:val="00BF21FC"/>
    <w:rsid w:val="00BF2FB6"/>
    <w:rsid w:val="00BF3106"/>
    <w:rsid w:val="00BF52FC"/>
    <w:rsid w:val="00BF5C5B"/>
    <w:rsid w:val="00BF6028"/>
    <w:rsid w:val="00BF7BC4"/>
    <w:rsid w:val="00BF7CD7"/>
    <w:rsid w:val="00C00771"/>
    <w:rsid w:val="00C00E44"/>
    <w:rsid w:val="00C016CF"/>
    <w:rsid w:val="00C01817"/>
    <w:rsid w:val="00C01D89"/>
    <w:rsid w:val="00C02510"/>
    <w:rsid w:val="00C036F0"/>
    <w:rsid w:val="00C0373F"/>
    <w:rsid w:val="00C03996"/>
    <w:rsid w:val="00C04460"/>
    <w:rsid w:val="00C0467F"/>
    <w:rsid w:val="00C07DBF"/>
    <w:rsid w:val="00C11EDE"/>
    <w:rsid w:val="00C12011"/>
    <w:rsid w:val="00C13B6B"/>
    <w:rsid w:val="00C14459"/>
    <w:rsid w:val="00C14D96"/>
    <w:rsid w:val="00C171CB"/>
    <w:rsid w:val="00C17328"/>
    <w:rsid w:val="00C174EF"/>
    <w:rsid w:val="00C20774"/>
    <w:rsid w:val="00C21306"/>
    <w:rsid w:val="00C239A3"/>
    <w:rsid w:val="00C26251"/>
    <w:rsid w:val="00C262E3"/>
    <w:rsid w:val="00C264A6"/>
    <w:rsid w:val="00C2663E"/>
    <w:rsid w:val="00C27345"/>
    <w:rsid w:val="00C27862"/>
    <w:rsid w:val="00C30B13"/>
    <w:rsid w:val="00C3162E"/>
    <w:rsid w:val="00C3256B"/>
    <w:rsid w:val="00C335B8"/>
    <w:rsid w:val="00C33A44"/>
    <w:rsid w:val="00C33AF6"/>
    <w:rsid w:val="00C34021"/>
    <w:rsid w:val="00C3445B"/>
    <w:rsid w:val="00C35C7E"/>
    <w:rsid w:val="00C35C8F"/>
    <w:rsid w:val="00C374A7"/>
    <w:rsid w:val="00C40414"/>
    <w:rsid w:val="00C40464"/>
    <w:rsid w:val="00C40548"/>
    <w:rsid w:val="00C41C37"/>
    <w:rsid w:val="00C425A8"/>
    <w:rsid w:val="00C429D3"/>
    <w:rsid w:val="00C4308C"/>
    <w:rsid w:val="00C43854"/>
    <w:rsid w:val="00C43A6F"/>
    <w:rsid w:val="00C43ACF"/>
    <w:rsid w:val="00C45BFC"/>
    <w:rsid w:val="00C45E7D"/>
    <w:rsid w:val="00C468E2"/>
    <w:rsid w:val="00C46E35"/>
    <w:rsid w:val="00C473D3"/>
    <w:rsid w:val="00C47EC9"/>
    <w:rsid w:val="00C513B0"/>
    <w:rsid w:val="00C516E0"/>
    <w:rsid w:val="00C52CFC"/>
    <w:rsid w:val="00C53099"/>
    <w:rsid w:val="00C53262"/>
    <w:rsid w:val="00C542A7"/>
    <w:rsid w:val="00C544CA"/>
    <w:rsid w:val="00C54E00"/>
    <w:rsid w:val="00C561D5"/>
    <w:rsid w:val="00C56CB5"/>
    <w:rsid w:val="00C570A2"/>
    <w:rsid w:val="00C61572"/>
    <w:rsid w:val="00C61A39"/>
    <w:rsid w:val="00C61B03"/>
    <w:rsid w:val="00C61DD0"/>
    <w:rsid w:val="00C62279"/>
    <w:rsid w:val="00C637BD"/>
    <w:rsid w:val="00C63947"/>
    <w:rsid w:val="00C639E2"/>
    <w:rsid w:val="00C63ED3"/>
    <w:rsid w:val="00C64709"/>
    <w:rsid w:val="00C64E1B"/>
    <w:rsid w:val="00C65772"/>
    <w:rsid w:val="00C65833"/>
    <w:rsid w:val="00C66441"/>
    <w:rsid w:val="00C668ED"/>
    <w:rsid w:val="00C67553"/>
    <w:rsid w:val="00C7087F"/>
    <w:rsid w:val="00C71255"/>
    <w:rsid w:val="00C71421"/>
    <w:rsid w:val="00C71F38"/>
    <w:rsid w:val="00C7469B"/>
    <w:rsid w:val="00C75458"/>
    <w:rsid w:val="00C757F5"/>
    <w:rsid w:val="00C75F33"/>
    <w:rsid w:val="00C763F3"/>
    <w:rsid w:val="00C77108"/>
    <w:rsid w:val="00C77924"/>
    <w:rsid w:val="00C80124"/>
    <w:rsid w:val="00C81161"/>
    <w:rsid w:val="00C8175F"/>
    <w:rsid w:val="00C81B4B"/>
    <w:rsid w:val="00C81EF9"/>
    <w:rsid w:val="00C835AE"/>
    <w:rsid w:val="00C84016"/>
    <w:rsid w:val="00C846AB"/>
    <w:rsid w:val="00C85B6B"/>
    <w:rsid w:val="00C87221"/>
    <w:rsid w:val="00C873A0"/>
    <w:rsid w:val="00C9029E"/>
    <w:rsid w:val="00C910CC"/>
    <w:rsid w:val="00C9242D"/>
    <w:rsid w:val="00C927A5"/>
    <w:rsid w:val="00C94743"/>
    <w:rsid w:val="00C94A15"/>
    <w:rsid w:val="00C9510B"/>
    <w:rsid w:val="00C95957"/>
    <w:rsid w:val="00C95C4C"/>
    <w:rsid w:val="00C96169"/>
    <w:rsid w:val="00C96601"/>
    <w:rsid w:val="00C96CDB"/>
    <w:rsid w:val="00C97A03"/>
    <w:rsid w:val="00CA09CF"/>
    <w:rsid w:val="00CA12AE"/>
    <w:rsid w:val="00CA144B"/>
    <w:rsid w:val="00CA1D0F"/>
    <w:rsid w:val="00CA1F0D"/>
    <w:rsid w:val="00CA1F4E"/>
    <w:rsid w:val="00CA3BBD"/>
    <w:rsid w:val="00CA48B3"/>
    <w:rsid w:val="00CA4CAD"/>
    <w:rsid w:val="00CA4DC7"/>
    <w:rsid w:val="00CA5619"/>
    <w:rsid w:val="00CA5698"/>
    <w:rsid w:val="00CA58F1"/>
    <w:rsid w:val="00CA6037"/>
    <w:rsid w:val="00CA6D41"/>
    <w:rsid w:val="00CA7784"/>
    <w:rsid w:val="00CB050E"/>
    <w:rsid w:val="00CB0C68"/>
    <w:rsid w:val="00CB0E15"/>
    <w:rsid w:val="00CB1A01"/>
    <w:rsid w:val="00CB1E39"/>
    <w:rsid w:val="00CB210E"/>
    <w:rsid w:val="00CB26F6"/>
    <w:rsid w:val="00CB54EB"/>
    <w:rsid w:val="00CB5EDE"/>
    <w:rsid w:val="00CB627D"/>
    <w:rsid w:val="00CB62C3"/>
    <w:rsid w:val="00CB6310"/>
    <w:rsid w:val="00CB6542"/>
    <w:rsid w:val="00CB6974"/>
    <w:rsid w:val="00CB6DE8"/>
    <w:rsid w:val="00CB6F94"/>
    <w:rsid w:val="00CB75FE"/>
    <w:rsid w:val="00CC0BDC"/>
    <w:rsid w:val="00CC0F83"/>
    <w:rsid w:val="00CC1AB4"/>
    <w:rsid w:val="00CC21FB"/>
    <w:rsid w:val="00CC2862"/>
    <w:rsid w:val="00CC41DA"/>
    <w:rsid w:val="00CC44C5"/>
    <w:rsid w:val="00CC4CDE"/>
    <w:rsid w:val="00CC6AD2"/>
    <w:rsid w:val="00CC6D8E"/>
    <w:rsid w:val="00CC7E7D"/>
    <w:rsid w:val="00CC7FAF"/>
    <w:rsid w:val="00CD0017"/>
    <w:rsid w:val="00CD139C"/>
    <w:rsid w:val="00CD1EDE"/>
    <w:rsid w:val="00CD2113"/>
    <w:rsid w:val="00CD24F8"/>
    <w:rsid w:val="00CD292E"/>
    <w:rsid w:val="00CD2AE7"/>
    <w:rsid w:val="00CD2B6E"/>
    <w:rsid w:val="00CD3178"/>
    <w:rsid w:val="00CD32DD"/>
    <w:rsid w:val="00CD59BC"/>
    <w:rsid w:val="00CD5D86"/>
    <w:rsid w:val="00CD5EF0"/>
    <w:rsid w:val="00CD7261"/>
    <w:rsid w:val="00CE05D9"/>
    <w:rsid w:val="00CE2776"/>
    <w:rsid w:val="00CE2BC3"/>
    <w:rsid w:val="00CE3DF4"/>
    <w:rsid w:val="00CE3EE5"/>
    <w:rsid w:val="00CE5278"/>
    <w:rsid w:val="00CE573B"/>
    <w:rsid w:val="00CE65FD"/>
    <w:rsid w:val="00CE6D1E"/>
    <w:rsid w:val="00CE6EC2"/>
    <w:rsid w:val="00CE70C7"/>
    <w:rsid w:val="00CF0182"/>
    <w:rsid w:val="00CF03ED"/>
    <w:rsid w:val="00CF05C5"/>
    <w:rsid w:val="00CF279F"/>
    <w:rsid w:val="00CF2E42"/>
    <w:rsid w:val="00CF37C0"/>
    <w:rsid w:val="00CF40CA"/>
    <w:rsid w:val="00CF483E"/>
    <w:rsid w:val="00CF5493"/>
    <w:rsid w:val="00CF6B4F"/>
    <w:rsid w:val="00D00128"/>
    <w:rsid w:val="00D00526"/>
    <w:rsid w:val="00D00555"/>
    <w:rsid w:val="00D00E2B"/>
    <w:rsid w:val="00D023F0"/>
    <w:rsid w:val="00D052A6"/>
    <w:rsid w:val="00D0606B"/>
    <w:rsid w:val="00D06318"/>
    <w:rsid w:val="00D074FE"/>
    <w:rsid w:val="00D07E9D"/>
    <w:rsid w:val="00D10021"/>
    <w:rsid w:val="00D110BE"/>
    <w:rsid w:val="00D11560"/>
    <w:rsid w:val="00D11725"/>
    <w:rsid w:val="00D1284C"/>
    <w:rsid w:val="00D12F6C"/>
    <w:rsid w:val="00D14793"/>
    <w:rsid w:val="00D1570F"/>
    <w:rsid w:val="00D1604C"/>
    <w:rsid w:val="00D16B72"/>
    <w:rsid w:val="00D17317"/>
    <w:rsid w:val="00D219F0"/>
    <w:rsid w:val="00D23B0B"/>
    <w:rsid w:val="00D23FA0"/>
    <w:rsid w:val="00D2507C"/>
    <w:rsid w:val="00D25EFB"/>
    <w:rsid w:val="00D26B08"/>
    <w:rsid w:val="00D27541"/>
    <w:rsid w:val="00D27636"/>
    <w:rsid w:val="00D2787D"/>
    <w:rsid w:val="00D278C0"/>
    <w:rsid w:val="00D279FD"/>
    <w:rsid w:val="00D302CA"/>
    <w:rsid w:val="00D30CBD"/>
    <w:rsid w:val="00D31939"/>
    <w:rsid w:val="00D31D05"/>
    <w:rsid w:val="00D31D84"/>
    <w:rsid w:val="00D31DBC"/>
    <w:rsid w:val="00D32411"/>
    <w:rsid w:val="00D34A46"/>
    <w:rsid w:val="00D35152"/>
    <w:rsid w:val="00D362C3"/>
    <w:rsid w:val="00D36F9D"/>
    <w:rsid w:val="00D376E7"/>
    <w:rsid w:val="00D37C28"/>
    <w:rsid w:val="00D37E32"/>
    <w:rsid w:val="00D40EE3"/>
    <w:rsid w:val="00D414F5"/>
    <w:rsid w:val="00D449E1"/>
    <w:rsid w:val="00D4721B"/>
    <w:rsid w:val="00D474B3"/>
    <w:rsid w:val="00D47BFD"/>
    <w:rsid w:val="00D47EE7"/>
    <w:rsid w:val="00D50FE7"/>
    <w:rsid w:val="00D5155F"/>
    <w:rsid w:val="00D516A7"/>
    <w:rsid w:val="00D51DE6"/>
    <w:rsid w:val="00D51F1E"/>
    <w:rsid w:val="00D52407"/>
    <w:rsid w:val="00D53F3C"/>
    <w:rsid w:val="00D544B7"/>
    <w:rsid w:val="00D54C19"/>
    <w:rsid w:val="00D54C96"/>
    <w:rsid w:val="00D54DE6"/>
    <w:rsid w:val="00D55B93"/>
    <w:rsid w:val="00D570F8"/>
    <w:rsid w:val="00D5749F"/>
    <w:rsid w:val="00D576F1"/>
    <w:rsid w:val="00D60433"/>
    <w:rsid w:val="00D60776"/>
    <w:rsid w:val="00D6175B"/>
    <w:rsid w:val="00D6202B"/>
    <w:rsid w:val="00D62513"/>
    <w:rsid w:val="00D62B15"/>
    <w:rsid w:val="00D63363"/>
    <w:rsid w:val="00D64E8E"/>
    <w:rsid w:val="00D64F13"/>
    <w:rsid w:val="00D66C9F"/>
    <w:rsid w:val="00D6771D"/>
    <w:rsid w:val="00D67DAA"/>
    <w:rsid w:val="00D67F41"/>
    <w:rsid w:val="00D7005D"/>
    <w:rsid w:val="00D7324B"/>
    <w:rsid w:val="00D73D4D"/>
    <w:rsid w:val="00D74079"/>
    <w:rsid w:val="00D74208"/>
    <w:rsid w:val="00D74A00"/>
    <w:rsid w:val="00D751E2"/>
    <w:rsid w:val="00D754F1"/>
    <w:rsid w:val="00D75AC7"/>
    <w:rsid w:val="00D77036"/>
    <w:rsid w:val="00D77CAE"/>
    <w:rsid w:val="00D77D28"/>
    <w:rsid w:val="00D80B88"/>
    <w:rsid w:val="00D81FCB"/>
    <w:rsid w:val="00D829D0"/>
    <w:rsid w:val="00D82BFB"/>
    <w:rsid w:val="00D834CF"/>
    <w:rsid w:val="00D83529"/>
    <w:rsid w:val="00D8367B"/>
    <w:rsid w:val="00D83EBE"/>
    <w:rsid w:val="00D8428F"/>
    <w:rsid w:val="00D84C8C"/>
    <w:rsid w:val="00D85D8B"/>
    <w:rsid w:val="00D863EF"/>
    <w:rsid w:val="00D87A62"/>
    <w:rsid w:val="00D92D65"/>
    <w:rsid w:val="00D932AF"/>
    <w:rsid w:val="00D93975"/>
    <w:rsid w:val="00D943D7"/>
    <w:rsid w:val="00D948ED"/>
    <w:rsid w:val="00D9499C"/>
    <w:rsid w:val="00D95CFF"/>
    <w:rsid w:val="00D9692D"/>
    <w:rsid w:val="00D974C4"/>
    <w:rsid w:val="00D9767C"/>
    <w:rsid w:val="00D97BDD"/>
    <w:rsid w:val="00DA2031"/>
    <w:rsid w:val="00DA45C5"/>
    <w:rsid w:val="00DA5559"/>
    <w:rsid w:val="00DA5DCC"/>
    <w:rsid w:val="00DA6269"/>
    <w:rsid w:val="00DA6532"/>
    <w:rsid w:val="00DA7306"/>
    <w:rsid w:val="00DA7CD9"/>
    <w:rsid w:val="00DB14EC"/>
    <w:rsid w:val="00DB19DC"/>
    <w:rsid w:val="00DB2EE6"/>
    <w:rsid w:val="00DB3119"/>
    <w:rsid w:val="00DB3D53"/>
    <w:rsid w:val="00DB49BF"/>
    <w:rsid w:val="00DB6016"/>
    <w:rsid w:val="00DB6B23"/>
    <w:rsid w:val="00DB7104"/>
    <w:rsid w:val="00DB7FDA"/>
    <w:rsid w:val="00DC37D3"/>
    <w:rsid w:val="00DC3C89"/>
    <w:rsid w:val="00DC3E70"/>
    <w:rsid w:val="00DC422A"/>
    <w:rsid w:val="00DC43F8"/>
    <w:rsid w:val="00DC4E3D"/>
    <w:rsid w:val="00DC59A2"/>
    <w:rsid w:val="00DC7223"/>
    <w:rsid w:val="00DC7EA5"/>
    <w:rsid w:val="00DD04E0"/>
    <w:rsid w:val="00DD205B"/>
    <w:rsid w:val="00DD240B"/>
    <w:rsid w:val="00DD48FE"/>
    <w:rsid w:val="00DD5F46"/>
    <w:rsid w:val="00DD601A"/>
    <w:rsid w:val="00DD6A1C"/>
    <w:rsid w:val="00DD6B74"/>
    <w:rsid w:val="00DE0817"/>
    <w:rsid w:val="00DE0CDF"/>
    <w:rsid w:val="00DE12C6"/>
    <w:rsid w:val="00DE1D7F"/>
    <w:rsid w:val="00DE2611"/>
    <w:rsid w:val="00DE3452"/>
    <w:rsid w:val="00DE43F1"/>
    <w:rsid w:val="00DE4A54"/>
    <w:rsid w:val="00DE4DF3"/>
    <w:rsid w:val="00DE5018"/>
    <w:rsid w:val="00DE6263"/>
    <w:rsid w:val="00DE712F"/>
    <w:rsid w:val="00DE7642"/>
    <w:rsid w:val="00DF01BD"/>
    <w:rsid w:val="00DF22EF"/>
    <w:rsid w:val="00DF2E2A"/>
    <w:rsid w:val="00DF2E6A"/>
    <w:rsid w:val="00DF339B"/>
    <w:rsid w:val="00DF358A"/>
    <w:rsid w:val="00DF6BD1"/>
    <w:rsid w:val="00DF76D8"/>
    <w:rsid w:val="00E00C8E"/>
    <w:rsid w:val="00E0192A"/>
    <w:rsid w:val="00E01BC2"/>
    <w:rsid w:val="00E01E03"/>
    <w:rsid w:val="00E01FF5"/>
    <w:rsid w:val="00E02A99"/>
    <w:rsid w:val="00E02C5E"/>
    <w:rsid w:val="00E0313A"/>
    <w:rsid w:val="00E0357B"/>
    <w:rsid w:val="00E044B4"/>
    <w:rsid w:val="00E05101"/>
    <w:rsid w:val="00E0514E"/>
    <w:rsid w:val="00E05922"/>
    <w:rsid w:val="00E0688B"/>
    <w:rsid w:val="00E12F6A"/>
    <w:rsid w:val="00E12FF9"/>
    <w:rsid w:val="00E13462"/>
    <w:rsid w:val="00E14D67"/>
    <w:rsid w:val="00E15775"/>
    <w:rsid w:val="00E1594A"/>
    <w:rsid w:val="00E15BA4"/>
    <w:rsid w:val="00E168E5"/>
    <w:rsid w:val="00E171DE"/>
    <w:rsid w:val="00E17C86"/>
    <w:rsid w:val="00E20512"/>
    <w:rsid w:val="00E20608"/>
    <w:rsid w:val="00E25204"/>
    <w:rsid w:val="00E27502"/>
    <w:rsid w:val="00E27697"/>
    <w:rsid w:val="00E2772D"/>
    <w:rsid w:val="00E30032"/>
    <w:rsid w:val="00E30049"/>
    <w:rsid w:val="00E30440"/>
    <w:rsid w:val="00E304C9"/>
    <w:rsid w:val="00E315D8"/>
    <w:rsid w:val="00E3196A"/>
    <w:rsid w:val="00E332AA"/>
    <w:rsid w:val="00E33649"/>
    <w:rsid w:val="00E3498D"/>
    <w:rsid w:val="00E35511"/>
    <w:rsid w:val="00E36400"/>
    <w:rsid w:val="00E3717E"/>
    <w:rsid w:val="00E37A2C"/>
    <w:rsid w:val="00E4072E"/>
    <w:rsid w:val="00E41859"/>
    <w:rsid w:val="00E418FF"/>
    <w:rsid w:val="00E42AEC"/>
    <w:rsid w:val="00E42BA9"/>
    <w:rsid w:val="00E45176"/>
    <w:rsid w:val="00E461BA"/>
    <w:rsid w:val="00E468D4"/>
    <w:rsid w:val="00E47A2D"/>
    <w:rsid w:val="00E51605"/>
    <w:rsid w:val="00E51CD6"/>
    <w:rsid w:val="00E52B32"/>
    <w:rsid w:val="00E52BA6"/>
    <w:rsid w:val="00E53DA9"/>
    <w:rsid w:val="00E55674"/>
    <w:rsid w:val="00E55F76"/>
    <w:rsid w:val="00E56AFF"/>
    <w:rsid w:val="00E56EC1"/>
    <w:rsid w:val="00E608FF"/>
    <w:rsid w:val="00E60A21"/>
    <w:rsid w:val="00E62337"/>
    <w:rsid w:val="00E6243C"/>
    <w:rsid w:val="00E624B4"/>
    <w:rsid w:val="00E62AE9"/>
    <w:rsid w:val="00E641D1"/>
    <w:rsid w:val="00E6708B"/>
    <w:rsid w:val="00E713BC"/>
    <w:rsid w:val="00E714FD"/>
    <w:rsid w:val="00E731E2"/>
    <w:rsid w:val="00E74207"/>
    <w:rsid w:val="00E7447D"/>
    <w:rsid w:val="00E74F4C"/>
    <w:rsid w:val="00E7546F"/>
    <w:rsid w:val="00E7559A"/>
    <w:rsid w:val="00E757DE"/>
    <w:rsid w:val="00E75E41"/>
    <w:rsid w:val="00E762C1"/>
    <w:rsid w:val="00E76461"/>
    <w:rsid w:val="00E76F95"/>
    <w:rsid w:val="00E76FD6"/>
    <w:rsid w:val="00E776DB"/>
    <w:rsid w:val="00E77BD6"/>
    <w:rsid w:val="00E77BE0"/>
    <w:rsid w:val="00E77F1D"/>
    <w:rsid w:val="00E803EC"/>
    <w:rsid w:val="00E80CA7"/>
    <w:rsid w:val="00E81077"/>
    <w:rsid w:val="00E8149D"/>
    <w:rsid w:val="00E81F69"/>
    <w:rsid w:val="00E828D9"/>
    <w:rsid w:val="00E82FE5"/>
    <w:rsid w:val="00E83095"/>
    <w:rsid w:val="00E834DB"/>
    <w:rsid w:val="00E8395A"/>
    <w:rsid w:val="00E84153"/>
    <w:rsid w:val="00E84988"/>
    <w:rsid w:val="00E85207"/>
    <w:rsid w:val="00E86134"/>
    <w:rsid w:val="00E90952"/>
    <w:rsid w:val="00E90C06"/>
    <w:rsid w:val="00E90C4F"/>
    <w:rsid w:val="00E919CE"/>
    <w:rsid w:val="00E92529"/>
    <w:rsid w:val="00E9266F"/>
    <w:rsid w:val="00E92D40"/>
    <w:rsid w:val="00E93571"/>
    <w:rsid w:val="00E93BA1"/>
    <w:rsid w:val="00E9424D"/>
    <w:rsid w:val="00E94536"/>
    <w:rsid w:val="00E9470A"/>
    <w:rsid w:val="00E9583B"/>
    <w:rsid w:val="00E96578"/>
    <w:rsid w:val="00E9777E"/>
    <w:rsid w:val="00E97866"/>
    <w:rsid w:val="00EA1901"/>
    <w:rsid w:val="00EA1F90"/>
    <w:rsid w:val="00EA2528"/>
    <w:rsid w:val="00EA25C4"/>
    <w:rsid w:val="00EA31A6"/>
    <w:rsid w:val="00EA3258"/>
    <w:rsid w:val="00EA3267"/>
    <w:rsid w:val="00EA45A2"/>
    <w:rsid w:val="00EA484C"/>
    <w:rsid w:val="00EA4B8E"/>
    <w:rsid w:val="00EA4C5B"/>
    <w:rsid w:val="00EA572B"/>
    <w:rsid w:val="00EA6203"/>
    <w:rsid w:val="00EA65E2"/>
    <w:rsid w:val="00EA6647"/>
    <w:rsid w:val="00EA6698"/>
    <w:rsid w:val="00EA79F0"/>
    <w:rsid w:val="00EA7C25"/>
    <w:rsid w:val="00EA7FEF"/>
    <w:rsid w:val="00EB0402"/>
    <w:rsid w:val="00EB081D"/>
    <w:rsid w:val="00EB0B3E"/>
    <w:rsid w:val="00EB12E4"/>
    <w:rsid w:val="00EB2134"/>
    <w:rsid w:val="00EB264C"/>
    <w:rsid w:val="00EB2B78"/>
    <w:rsid w:val="00EB4E84"/>
    <w:rsid w:val="00EB6A21"/>
    <w:rsid w:val="00EB6BC7"/>
    <w:rsid w:val="00EB77E0"/>
    <w:rsid w:val="00EB7EBF"/>
    <w:rsid w:val="00EC07C0"/>
    <w:rsid w:val="00EC0A58"/>
    <w:rsid w:val="00EC264B"/>
    <w:rsid w:val="00EC2A41"/>
    <w:rsid w:val="00EC32FD"/>
    <w:rsid w:val="00EC3499"/>
    <w:rsid w:val="00EC460B"/>
    <w:rsid w:val="00EC4875"/>
    <w:rsid w:val="00EC4C98"/>
    <w:rsid w:val="00EC4FBA"/>
    <w:rsid w:val="00EC56A6"/>
    <w:rsid w:val="00EC672C"/>
    <w:rsid w:val="00ED0CEB"/>
    <w:rsid w:val="00ED2183"/>
    <w:rsid w:val="00ED3DDA"/>
    <w:rsid w:val="00ED5743"/>
    <w:rsid w:val="00ED5AF2"/>
    <w:rsid w:val="00ED63BD"/>
    <w:rsid w:val="00ED6F35"/>
    <w:rsid w:val="00ED70F7"/>
    <w:rsid w:val="00ED7217"/>
    <w:rsid w:val="00EE018B"/>
    <w:rsid w:val="00EE0205"/>
    <w:rsid w:val="00EE1E18"/>
    <w:rsid w:val="00EE21E6"/>
    <w:rsid w:val="00EE2403"/>
    <w:rsid w:val="00EE4612"/>
    <w:rsid w:val="00EE4A87"/>
    <w:rsid w:val="00EE50F7"/>
    <w:rsid w:val="00EE643D"/>
    <w:rsid w:val="00EE7359"/>
    <w:rsid w:val="00EE76D8"/>
    <w:rsid w:val="00EE7B23"/>
    <w:rsid w:val="00EE7BAD"/>
    <w:rsid w:val="00EF133C"/>
    <w:rsid w:val="00EF1BE2"/>
    <w:rsid w:val="00EF2AF4"/>
    <w:rsid w:val="00EF3946"/>
    <w:rsid w:val="00EF43BC"/>
    <w:rsid w:val="00EF6183"/>
    <w:rsid w:val="00EF6259"/>
    <w:rsid w:val="00EF693A"/>
    <w:rsid w:val="00EF6B96"/>
    <w:rsid w:val="00EF6FE1"/>
    <w:rsid w:val="00EF7256"/>
    <w:rsid w:val="00F00F98"/>
    <w:rsid w:val="00F01D6D"/>
    <w:rsid w:val="00F01FCE"/>
    <w:rsid w:val="00F02651"/>
    <w:rsid w:val="00F02DD2"/>
    <w:rsid w:val="00F03017"/>
    <w:rsid w:val="00F03759"/>
    <w:rsid w:val="00F040ED"/>
    <w:rsid w:val="00F04530"/>
    <w:rsid w:val="00F0547F"/>
    <w:rsid w:val="00F064B9"/>
    <w:rsid w:val="00F064FE"/>
    <w:rsid w:val="00F06866"/>
    <w:rsid w:val="00F068CC"/>
    <w:rsid w:val="00F07347"/>
    <w:rsid w:val="00F0759D"/>
    <w:rsid w:val="00F07B18"/>
    <w:rsid w:val="00F115F6"/>
    <w:rsid w:val="00F11631"/>
    <w:rsid w:val="00F128A9"/>
    <w:rsid w:val="00F12AA3"/>
    <w:rsid w:val="00F134E3"/>
    <w:rsid w:val="00F1548D"/>
    <w:rsid w:val="00F15548"/>
    <w:rsid w:val="00F173D7"/>
    <w:rsid w:val="00F17A80"/>
    <w:rsid w:val="00F17AFB"/>
    <w:rsid w:val="00F201B9"/>
    <w:rsid w:val="00F20424"/>
    <w:rsid w:val="00F23B09"/>
    <w:rsid w:val="00F23E53"/>
    <w:rsid w:val="00F247FB"/>
    <w:rsid w:val="00F25CC7"/>
    <w:rsid w:val="00F27736"/>
    <w:rsid w:val="00F30420"/>
    <w:rsid w:val="00F32335"/>
    <w:rsid w:val="00F32341"/>
    <w:rsid w:val="00F325ED"/>
    <w:rsid w:val="00F32867"/>
    <w:rsid w:val="00F334D8"/>
    <w:rsid w:val="00F349AC"/>
    <w:rsid w:val="00F34B00"/>
    <w:rsid w:val="00F37503"/>
    <w:rsid w:val="00F37EF1"/>
    <w:rsid w:val="00F40CC2"/>
    <w:rsid w:val="00F4154F"/>
    <w:rsid w:val="00F419EF"/>
    <w:rsid w:val="00F41BFC"/>
    <w:rsid w:val="00F4227B"/>
    <w:rsid w:val="00F42502"/>
    <w:rsid w:val="00F4313B"/>
    <w:rsid w:val="00F43B97"/>
    <w:rsid w:val="00F43D91"/>
    <w:rsid w:val="00F441CF"/>
    <w:rsid w:val="00F44267"/>
    <w:rsid w:val="00F45F88"/>
    <w:rsid w:val="00F4687C"/>
    <w:rsid w:val="00F47866"/>
    <w:rsid w:val="00F50827"/>
    <w:rsid w:val="00F50DF9"/>
    <w:rsid w:val="00F520CB"/>
    <w:rsid w:val="00F5260B"/>
    <w:rsid w:val="00F52726"/>
    <w:rsid w:val="00F52D72"/>
    <w:rsid w:val="00F52FDD"/>
    <w:rsid w:val="00F5304C"/>
    <w:rsid w:val="00F54C45"/>
    <w:rsid w:val="00F559BB"/>
    <w:rsid w:val="00F561DE"/>
    <w:rsid w:val="00F562AA"/>
    <w:rsid w:val="00F56A98"/>
    <w:rsid w:val="00F57665"/>
    <w:rsid w:val="00F57702"/>
    <w:rsid w:val="00F57E10"/>
    <w:rsid w:val="00F6076B"/>
    <w:rsid w:val="00F610B4"/>
    <w:rsid w:val="00F618C9"/>
    <w:rsid w:val="00F6202D"/>
    <w:rsid w:val="00F623B5"/>
    <w:rsid w:val="00F6291E"/>
    <w:rsid w:val="00F62A65"/>
    <w:rsid w:val="00F65F60"/>
    <w:rsid w:val="00F6684D"/>
    <w:rsid w:val="00F66A37"/>
    <w:rsid w:val="00F67457"/>
    <w:rsid w:val="00F71280"/>
    <w:rsid w:val="00F713D2"/>
    <w:rsid w:val="00F71F6F"/>
    <w:rsid w:val="00F72766"/>
    <w:rsid w:val="00F72A7D"/>
    <w:rsid w:val="00F731E2"/>
    <w:rsid w:val="00F75756"/>
    <w:rsid w:val="00F76934"/>
    <w:rsid w:val="00F76D79"/>
    <w:rsid w:val="00F76FDC"/>
    <w:rsid w:val="00F77B0A"/>
    <w:rsid w:val="00F805F1"/>
    <w:rsid w:val="00F80E0D"/>
    <w:rsid w:val="00F813E8"/>
    <w:rsid w:val="00F81D1B"/>
    <w:rsid w:val="00F82333"/>
    <w:rsid w:val="00F834DC"/>
    <w:rsid w:val="00F844B9"/>
    <w:rsid w:val="00F852DE"/>
    <w:rsid w:val="00F854EF"/>
    <w:rsid w:val="00F8569A"/>
    <w:rsid w:val="00F858A1"/>
    <w:rsid w:val="00F85A20"/>
    <w:rsid w:val="00F85B64"/>
    <w:rsid w:val="00F85E4D"/>
    <w:rsid w:val="00F86164"/>
    <w:rsid w:val="00F86321"/>
    <w:rsid w:val="00F863DD"/>
    <w:rsid w:val="00F90826"/>
    <w:rsid w:val="00F91B19"/>
    <w:rsid w:val="00F92B53"/>
    <w:rsid w:val="00F93335"/>
    <w:rsid w:val="00F93E74"/>
    <w:rsid w:val="00F94EB3"/>
    <w:rsid w:val="00F953E9"/>
    <w:rsid w:val="00F957F0"/>
    <w:rsid w:val="00FA049C"/>
    <w:rsid w:val="00FA0ED8"/>
    <w:rsid w:val="00FA3EA5"/>
    <w:rsid w:val="00FA3F02"/>
    <w:rsid w:val="00FA489F"/>
    <w:rsid w:val="00FA5498"/>
    <w:rsid w:val="00FA550D"/>
    <w:rsid w:val="00FA5989"/>
    <w:rsid w:val="00FA61DC"/>
    <w:rsid w:val="00FA637C"/>
    <w:rsid w:val="00FA6443"/>
    <w:rsid w:val="00FA70ED"/>
    <w:rsid w:val="00FA7C91"/>
    <w:rsid w:val="00FB1156"/>
    <w:rsid w:val="00FB1761"/>
    <w:rsid w:val="00FB1DCF"/>
    <w:rsid w:val="00FB2090"/>
    <w:rsid w:val="00FB23F8"/>
    <w:rsid w:val="00FB4AF5"/>
    <w:rsid w:val="00FB4C98"/>
    <w:rsid w:val="00FB5F44"/>
    <w:rsid w:val="00FB7739"/>
    <w:rsid w:val="00FC0B69"/>
    <w:rsid w:val="00FC1D9F"/>
    <w:rsid w:val="00FC1FDA"/>
    <w:rsid w:val="00FC233C"/>
    <w:rsid w:val="00FC3003"/>
    <w:rsid w:val="00FC37D6"/>
    <w:rsid w:val="00FC466A"/>
    <w:rsid w:val="00FC49A7"/>
    <w:rsid w:val="00FC4D3F"/>
    <w:rsid w:val="00FC5626"/>
    <w:rsid w:val="00FC58D4"/>
    <w:rsid w:val="00FC6227"/>
    <w:rsid w:val="00FC62CE"/>
    <w:rsid w:val="00FC6335"/>
    <w:rsid w:val="00FC6FFF"/>
    <w:rsid w:val="00FC7665"/>
    <w:rsid w:val="00FC7903"/>
    <w:rsid w:val="00FC7CD4"/>
    <w:rsid w:val="00FD0558"/>
    <w:rsid w:val="00FD077F"/>
    <w:rsid w:val="00FD0F4C"/>
    <w:rsid w:val="00FD1574"/>
    <w:rsid w:val="00FD1A3D"/>
    <w:rsid w:val="00FD289E"/>
    <w:rsid w:val="00FD2B80"/>
    <w:rsid w:val="00FD38EB"/>
    <w:rsid w:val="00FD4B9A"/>
    <w:rsid w:val="00FD5FE4"/>
    <w:rsid w:val="00FD6260"/>
    <w:rsid w:val="00FD711F"/>
    <w:rsid w:val="00FD74D8"/>
    <w:rsid w:val="00FD75E2"/>
    <w:rsid w:val="00FD7D54"/>
    <w:rsid w:val="00FE1F8E"/>
    <w:rsid w:val="00FE26E3"/>
    <w:rsid w:val="00FE3D23"/>
    <w:rsid w:val="00FE4982"/>
    <w:rsid w:val="00FE543E"/>
    <w:rsid w:val="00FE5719"/>
    <w:rsid w:val="00FE5DA8"/>
    <w:rsid w:val="00FE6371"/>
    <w:rsid w:val="00FE69AC"/>
    <w:rsid w:val="00FE6FC5"/>
    <w:rsid w:val="00FF05F3"/>
    <w:rsid w:val="00FF3013"/>
    <w:rsid w:val="00FF3BBE"/>
    <w:rsid w:val="00FF4004"/>
    <w:rsid w:val="00FF44D9"/>
    <w:rsid w:val="00FF6508"/>
    <w:rsid w:val="00FF71F3"/>
    <w:rsid w:val="00FF76FC"/>
    <w:rsid w:val="00FF7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1C6C4"/>
  <w15:chartTrackingRefBased/>
  <w15:docId w15:val="{25616A75-24AD-477D-B7A9-B2BC414E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cs="Courier New"/>
      <w:sz w:val="24"/>
      <w:szCs w:val="24"/>
    </w:rPr>
  </w:style>
  <w:style w:type="paragraph" w:styleId="Ttulo1">
    <w:name w:val="heading 1"/>
    <w:basedOn w:val="Normal"/>
    <w:link w:val="Ttulo1Char"/>
    <w:qFormat/>
    <w:rsid w:val="00B3583E"/>
    <w:pPr>
      <w:spacing w:before="100" w:beforeAutospacing="1" w:after="100" w:afterAutospacing="1"/>
      <w:outlineLvl w:val="0"/>
    </w:pPr>
    <w:rPr>
      <w:rFonts w:ascii="Times New Roman" w:hAnsi="Times New Roman" w:cs="Times New Roman"/>
      <w:b/>
      <w:bCs/>
      <w:kern w:val="36"/>
      <w:sz w:val="48"/>
      <w:szCs w:val="48"/>
      <w:lang w:val="x-none" w:eastAsia="x-none"/>
    </w:rPr>
  </w:style>
  <w:style w:type="paragraph" w:styleId="Ttulo2">
    <w:name w:val="heading 2"/>
    <w:basedOn w:val="Normal"/>
    <w:next w:val="Normal"/>
    <w:link w:val="Ttulo2Char"/>
    <w:unhideWhenUsed/>
    <w:qFormat/>
    <w:rsid w:val="00F80E0D"/>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qFormat/>
    <w:rsid w:val="00CB75FE"/>
    <w:pPr>
      <w:keepNext/>
      <w:spacing w:line="360" w:lineRule="auto"/>
      <w:jc w:val="center"/>
      <w:outlineLvl w:val="2"/>
    </w:pPr>
    <w:rPr>
      <w:rFonts w:ascii="Arial" w:hAnsi="Arial" w:cs="Arial"/>
      <w:b/>
      <w:bCs/>
      <w:sz w:val="22"/>
      <w:szCs w:val="20"/>
    </w:rPr>
  </w:style>
  <w:style w:type="paragraph" w:styleId="Ttulo4">
    <w:name w:val="heading 4"/>
    <w:basedOn w:val="Normal"/>
    <w:next w:val="Normal"/>
    <w:link w:val="Ttulo4Char"/>
    <w:qFormat/>
    <w:rsid w:val="00CB75FE"/>
    <w:pPr>
      <w:keepNext/>
      <w:tabs>
        <w:tab w:val="left" w:pos="945"/>
      </w:tabs>
      <w:outlineLvl w:val="3"/>
    </w:pPr>
    <w:rPr>
      <w:rFonts w:ascii="Times New Roman" w:hAnsi="Times New Roman" w:cs="Times New Roman"/>
      <w:b/>
      <w:bCs/>
    </w:rPr>
  </w:style>
  <w:style w:type="paragraph" w:styleId="Ttulo5">
    <w:name w:val="heading 5"/>
    <w:basedOn w:val="Normal"/>
    <w:next w:val="Normal"/>
    <w:link w:val="Ttulo5Char"/>
    <w:qFormat/>
    <w:rsid w:val="00CB75FE"/>
    <w:pPr>
      <w:keepNext/>
      <w:tabs>
        <w:tab w:val="left" w:pos="945"/>
      </w:tabs>
      <w:ind w:left="-540" w:right="-522" w:firstLine="360"/>
      <w:jc w:val="both"/>
      <w:outlineLvl w:val="4"/>
    </w:pPr>
    <w:rPr>
      <w:rFonts w:ascii="Times New Roman" w:hAnsi="Times New Roman" w:cs="Times New Roman"/>
      <w:b/>
      <w:bCs/>
      <w:sz w:val="20"/>
    </w:rPr>
  </w:style>
  <w:style w:type="paragraph" w:styleId="Ttulo6">
    <w:name w:val="heading 6"/>
    <w:basedOn w:val="Normal"/>
    <w:next w:val="Normal"/>
    <w:link w:val="Ttulo6Char"/>
    <w:qFormat/>
    <w:rsid w:val="00CB75FE"/>
    <w:pPr>
      <w:keepNext/>
      <w:ind w:left="-540" w:right="-522" w:firstLine="360"/>
      <w:jc w:val="both"/>
      <w:outlineLvl w:val="5"/>
    </w:pPr>
    <w:rPr>
      <w:rFonts w:ascii="Times New Roman" w:hAnsi="Times New Roman" w:cs="Times New Roman"/>
      <w:b/>
      <w:bCs/>
      <w:i/>
      <w:iCs/>
      <w:sz w:val="20"/>
    </w:rPr>
  </w:style>
  <w:style w:type="paragraph" w:styleId="Ttulo7">
    <w:name w:val="heading 7"/>
    <w:basedOn w:val="Normal"/>
    <w:next w:val="Normal"/>
    <w:link w:val="Ttulo7Char"/>
    <w:qFormat/>
    <w:rsid w:val="00CB75FE"/>
    <w:pPr>
      <w:keepNext/>
      <w:ind w:left="-540" w:right="-522" w:firstLine="360"/>
      <w:jc w:val="center"/>
      <w:outlineLvl w:val="6"/>
    </w:pPr>
    <w:rPr>
      <w:rFonts w:ascii="Times New Roman" w:hAnsi="Times New Roman" w:cs="Times New Roman"/>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70327"/>
    <w:pPr>
      <w:tabs>
        <w:tab w:val="center" w:pos="4252"/>
        <w:tab w:val="right" w:pos="8504"/>
      </w:tabs>
    </w:pPr>
  </w:style>
  <w:style w:type="paragraph" w:styleId="Rodap">
    <w:name w:val="footer"/>
    <w:basedOn w:val="Normal"/>
    <w:link w:val="RodapChar"/>
    <w:rsid w:val="00A70327"/>
    <w:pPr>
      <w:tabs>
        <w:tab w:val="center" w:pos="4252"/>
        <w:tab w:val="right" w:pos="8504"/>
      </w:tabs>
    </w:pPr>
  </w:style>
  <w:style w:type="paragraph" w:styleId="Textodenotaderodap">
    <w:name w:val="footnote text"/>
    <w:basedOn w:val="Normal"/>
    <w:link w:val="TextodenotaderodapChar"/>
    <w:semiHidden/>
    <w:rsid w:val="00A51E20"/>
    <w:rPr>
      <w:sz w:val="20"/>
      <w:szCs w:val="20"/>
    </w:rPr>
  </w:style>
  <w:style w:type="character" w:styleId="Refdenotaderodap">
    <w:name w:val="footnote reference"/>
    <w:semiHidden/>
    <w:rsid w:val="00A51E20"/>
    <w:rPr>
      <w:vertAlign w:val="superscript"/>
    </w:rPr>
  </w:style>
  <w:style w:type="paragraph" w:styleId="NormalWeb">
    <w:name w:val="Normal (Web)"/>
    <w:basedOn w:val="Normal"/>
    <w:uiPriority w:val="99"/>
    <w:rsid w:val="00A51E20"/>
    <w:pPr>
      <w:spacing w:before="100" w:beforeAutospacing="1" w:after="100" w:afterAutospacing="1"/>
    </w:pPr>
    <w:rPr>
      <w:rFonts w:ascii="Times New Roman" w:hAnsi="Times New Roman" w:cs="Times New Roman"/>
    </w:rPr>
  </w:style>
  <w:style w:type="table" w:styleId="Tabelacomgrade">
    <w:name w:val="Table Grid"/>
    <w:basedOn w:val="Tabelanormal"/>
    <w:uiPriority w:val="59"/>
    <w:rsid w:val="0036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756B1B"/>
    <w:rPr>
      <w:rFonts w:ascii="Tahoma" w:hAnsi="Tahoma" w:cs="Tahoma"/>
      <w:sz w:val="16"/>
      <w:szCs w:val="16"/>
    </w:rPr>
  </w:style>
  <w:style w:type="character" w:styleId="Forte">
    <w:name w:val="Strong"/>
    <w:uiPriority w:val="22"/>
    <w:qFormat/>
    <w:rsid w:val="002A09DF"/>
    <w:rPr>
      <w:b/>
      <w:bCs/>
    </w:rPr>
  </w:style>
  <w:style w:type="paragraph" w:styleId="MapadoDocumento">
    <w:name w:val="Document Map"/>
    <w:basedOn w:val="Normal"/>
    <w:semiHidden/>
    <w:rsid w:val="00726B3D"/>
    <w:pPr>
      <w:shd w:val="clear" w:color="auto" w:fill="000080"/>
    </w:pPr>
    <w:rPr>
      <w:rFonts w:ascii="Tahoma" w:hAnsi="Tahoma" w:cs="Tahoma"/>
      <w:sz w:val="20"/>
      <w:szCs w:val="20"/>
    </w:rPr>
  </w:style>
  <w:style w:type="character" w:styleId="Hyperlink">
    <w:name w:val="Hyperlink"/>
    <w:unhideWhenUsed/>
    <w:rsid w:val="00883B45"/>
    <w:rPr>
      <w:strike w:val="0"/>
      <w:dstrike w:val="0"/>
      <w:color w:val="007000"/>
      <w:u w:val="none"/>
      <w:effect w:val="none"/>
    </w:rPr>
  </w:style>
  <w:style w:type="paragraph" w:styleId="Textodenotadefim">
    <w:name w:val="endnote text"/>
    <w:basedOn w:val="Normal"/>
    <w:link w:val="TextodenotadefimChar"/>
    <w:rsid w:val="007B1468"/>
    <w:rPr>
      <w:rFonts w:cs="Times New Roman"/>
      <w:sz w:val="20"/>
      <w:szCs w:val="20"/>
      <w:lang w:val="x-none" w:eastAsia="x-none"/>
    </w:rPr>
  </w:style>
  <w:style w:type="character" w:customStyle="1" w:styleId="TextodenotadefimChar">
    <w:name w:val="Texto de nota de fim Char"/>
    <w:link w:val="Textodenotadefim"/>
    <w:rsid w:val="007B1468"/>
    <w:rPr>
      <w:rFonts w:ascii="Courier New" w:hAnsi="Courier New" w:cs="Courier New"/>
    </w:rPr>
  </w:style>
  <w:style w:type="character" w:styleId="Refdenotadefim">
    <w:name w:val="endnote reference"/>
    <w:rsid w:val="007B1468"/>
    <w:rPr>
      <w:vertAlign w:val="superscript"/>
    </w:rPr>
  </w:style>
  <w:style w:type="character" w:customStyle="1" w:styleId="apple-converted-space">
    <w:name w:val="apple-converted-space"/>
    <w:rsid w:val="007B1468"/>
  </w:style>
  <w:style w:type="character" w:styleId="nfase">
    <w:name w:val="Emphasis"/>
    <w:uiPriority w:val="20"/>
    <w:qFormat/>
    <w:rsid w:val="00D932AF"/>
    <w:rPr>
      <w:i/>
      <w:iCs/>
    </w:rPr>
  </w:style>
  <w:style w:type="character" w:customStyle="1" w:styleId="Ttulo1Char">
    <w:name w:val="Título 1 Char"/>
    <w:link w:val="Ttulo1"/>
    <w:rsid w:val="00B3583E"/>
    <w:rPr>
      <w:b/>
      <w:bCs/>
      <w:kern w:val="36"/>
      <w:sz w:val="48"/>
      <w:szCs w:val="48"/>
    </w:rPr>
  </w:style>
  <w:style w:type="character" w:customStyle="1" w:styleId="qterm2">
    <w:name w:val="qterm2"/>
    <w:rsid w:val="00C2663E"/>
  </w:style>
  <w:style w:type="character" w:customStyle="1" w:styleId="TextodenotaderodapChar">
    <w:name w:val="Texto de nota de rodapé Char"/>
    <w:link w:val="Textodenotaderodap"/>
    <w:semiHidden/>
    <w:rsid w:val="005B217C"/>
    <w:rPr>
      <w:rFonts w:ascii="Courier New" w:hAnsi="Courier New" w:cs="Courier New"/>
    </w:rPr>
  </w:style>
  <w:style w:type="paragraph" w:styleId="PargrafodaLista">
    <w:name w:val="List Paragraph"/>
    <w:basedOn w:val="Normal"/>
    <w:uiPriority w:val="34"/>
    <w:qFormat/>
    <w:rsid w:val="00C016CF"/>
    <w:pPr>
      <w:ind w:left="708"/>
    </w:pPr>
  </w:style>
  <w:style w:type="character" w:customStyle="1" w:styleId="Ttulo2Char">
    <w:name w:val="Título 2 Char"/>
    <w:link w:val="Ttulo2"/>
    <w:uiPriority w:val="9"/>
    <w:rsid w:val="00F80E0D"/>
    <w:rPr>
      <w:rFonts w:ascii="Calibri Light" w:eastAsia="Times New Roman" w:hAnsi="Calibri Light" w:cs="Times New Roman"/>
      <w:b/>
      <w:bCs/>
      <w:i/>
      <w:iCs/>
      <w:sz w:val="28"/>
      <w:szCs w:val="28"/>
    </w:rPr>
  </w:style>
  <w:style w:type="paragraph" w:customStyle="1" w:styleId="texto3">
    <w:name w:val="texto3"/>
    <w:basedOn w:val="Normal"/>
    <w:rsid w:val="00DB2EE6"/>
    <w:pPr>
      <w:spacing w:before="100" w:beforeAutospacing="1" w:after="100" w:afterAutospacing="1"/>
    </w:pPr>
    <w:rPr>
      <w:rFonts w:ascii="Times New Roman" w:hAnsi="Times New Roman" w:cs="Times New Roman"/>
    </w:rPr>
  </w:style>
  <w:style w:type="paragraph" w:customStyle="1" w:styleId="texto2">
    <w:name w:val="texto2"/>
    <w:basedOn w:val="Normal"/>
    <w:rsid w:val="00DB2EE6"/>
    <w:pPr>
      <w:spacing w:before="100" w:beforeAutospacing="1" w:after="100" w:afterAutospacing="1"/>
    </w:pPr>
    <w:rPr>
      <w:rFonts w:ascii="Times New Roman" w:hAnsi="Times New Roman" w:cs="Times New Roman"/>
    </w:rPr>
  </w:style>
  <w:style w:type="paragraph" w:customStyle="1" w:styleId="normal1">
    <w:name w:val="normal1"/>
    <w:basedOn w:val="Normal"/>
    <w:link w:val="normal1Char"/>
    <w:uiPriority w:val="99"/>
    <w:rsid w:val="00484462"/>
    <w:pPr>
      <w:tabs>
        <w:tab w:val="left" w:pos="1701"/>
      </w:tabs>
      <w:overflowPunct w:val="0"/>
      <w:autoSpaceDE w:val="0"/>
      <w:autoSpaceDN w:val="0"/>
      <w:adjustRightInd w:val="0"/>
      <w:ind w:firstLine="1559"/>
      <w:jc w:val="both"/>
      <w:textAlignment w:val="baseline"/>
    </w:pPr>
    <w:rPr>
      <w:rFonts w:cs="Times New Roman"/>
      <w:szCs w:val="20"/>
    </w:rPr>
  </w:style>
  <w:style w:type="paragraph" w:styleId="Pr-formataoHTML">
    <w:name w:val="HTML Preformatted"/>
    <w:basedOn w:val="Normal"/>
    <w:link w:val="Pr-formataoHTMLChar"/>
    <w:uiPriority w:val="99"/>
    <w:unhideWhenUsed/>
    <w:rsid w:val="006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Pr-formataoHTMLChar">
    <w:name w:val="Pré-formatação HTML Char"/>
    <w:link w:val="Pr-formataoHTML"/>
    <w:uiPriority w:val="99"/>
    <w:rsid w:val="006E4278"/>
    <w:rPr>
      <w:rFonts w:ascii="Courier New" w:hAnsi="Courier New" w:cs="Courier New"/>
    </w:rPr>
  </w:style>
  <w:style w:type="character" w:customStyle="1" w:styleId="clsinformativotextotitulo">
    <w:name w:val="clsinformativotextotitulo"/>
    <w:rsid w:val="005C77AC"/>
  </w:style>
  <w:style w:type="paragraph" w:customStyle="1" w:styleId="Corpodetexto21">
    <w:name w:val="Corpo de texto 21"/>
    <w:basedOn w:val="Normal"/>
    <w:rsid w:val="00F86321"/>
    <w:pPr>
      <w:suppressAutoHyphens/>
      <w:spacing w:after="120" w:line="480" w:lineRule="auto"/>
    </w:pPr>
    <w:rPr>
      <w:rFonts w:ascii="Times New Roman" w:hAnsi="Times New Roman" w:cs="Times New Roman"/>
      <w:sz w:val="20"/>
      <w:szCs w:val="20"/>
      <w:lang w:eastAsia="ar-SA"/>
    </w:rPr>
  </w:style>
  <w:style w:type="paragraph" w:styleId="Subttulo">
    <w:name w:val="Subtitle"/>
    <w:basedOn w:val="Normal"/>
    <w:next w:val="Normal"/>
    <w:link w:val="SubttuloChar"/>
    <w:qFormat/>
    <w:rsid w:val="00A37BC8"/>
    <w:pPr>
      <w:spacing w:after="60"/>
      <w:jc w:val="center"/>
      <w:outlineLvl w:val="1"/>
    </w:pPr>
    <w:rPr>
      <w:rFonts w:ascii="Calibri Light" w:hAnsi="Calibri Light" w:cs="Times New Roman"/>
    </w:rPr>
  </w:style>
  <w:style w:type="character" w:customStyle="1" w:styleId="SubttuloChar">
    <w:name w:val="Subtítulo Char"/>
    <w:link w:val="Subttulo"/>
    <w:rsid w:val="00A37BC8"/>
    <w:rPr>
      <w:rFonts w:ascii="Calibri Light" w:eastAsia="Times New Roman" w:hAnsi="Calibri Light" w:cs="Times New Roman"/>
      <w:sz w:val="24"/>
      <w:szCs w:val="24"/>
    </w:rPr>
  </w:style>
  <w:style w:type="character" w:customStyle="1" w:styleId="normal1Char">
    <w:name w:val="normal1 Char"/>
    <w:link w:val="normal1"/>
    <w:uiPriority w:val="99"/>
    <w:locked/>
    <w:rsid w:val="0053489E"/>
    <w:rPr>
      <w:rFonts w:ascii="Courier New" w:hAnsi="Courier New"/>
      <w:sz w:val="24"/>
    </w:rPr>
  </w:style>
  <w:style w:type="paragraph" w:customStyle="1" w:styleId="texto20">
    <w:name w:val="texto20"/>
    <w:basedOn w:val="Normal"/>
    <w:rsid w:val="00527AD2"/>
    <w:pPr>
      <w:spacing w:before="100" w:beforeAutospacing="1" w:after="100" w:afterAutospacing="1"/>
    </w:pPr>
    <w:rPr>
      <w:rFonts w:ascii="Times New Roman" w:hAnsi="Times New Roman" w:cs="Times New Roman"/>
    </w:rPr>
  </w:style>
  <w:style w:type="paragraph" w:customStyle="1" w:styleId="STF-Padro">
    <w:name w:val="STF-Padrão"/>
    <w:basedOn w:val="Normal"/>
    <w:uiPriority w:val="99"/>
    <w:rsid w:val="003D083A"/>
    <w:pPr>
      <w:widowControl w:val="0"/>
      <w:tabs>
        <w:tab w:val="left" w:pos="1701"/>
      </w:tabs>
      <w:autoSpaceDE w:val="0"/>
      <w:autoSpaceDN w:val="0"/>
      <w:adjustRightInd w:val="0"/>
      <w:spacing w:line="264" w:lineRule="auto"/>
      <w:ind w:firstLine="567"/>
      <w:jc w:val="both"/>
    </w:pPr>
    <w:rPr>
      <w:rFonts w:ascii="Palatino Linotype" w:hAnsi="Times New Roman" w:cs="Palatino Linotype"/>
      <w:sz w:val="26"/>
      <w:szCs w:val="26"/>
    </w:rPr>
  </w:style>
  <w:style w:type="paragraph" w:customStyle="1" w:styleId="artigo">
    <w:name w:val="artigo"/>
    <w:basedOn w:val="Normal"/>
    <w:rsid w:val="00266E71"/>
    <w:pPr>
      <w:spacing w:before="100" w:beforeAutospacing="1" w:after="100" w:afterAutospacing="1"/>
    </w:pPr>
    <w:rPr>
      <w:rFonts w:ascii="Times New Roman" w:hAnsi="Times New Roman" w:cs="Times New Roman"/>
    </w:rPr>
  </w:style>
  <w:style w:type="paragraph" w:customStyle="1" w:styleId="artart">
    <w:name w:val="artart"/>
    <w:basedOn w:val="Normal"/>
    <w:rsid w:val="003C2FE2"/>
    <w:pPr>
      <w:spacing w:before="100" w:beforeAutospacing="1" w:after="100" w:afterAutospacing="1"/>
    </w:pPr>
    <w:rPr>
      <w:rFonts w:ascii="Times New Roman" w:hAnsi="Times New Roman" w:cs="Times New Roman"/>
    </w:rPr>
  </w:style>
  <w:style w:type="character" w:customStyle="1" w:styleId="highlightbrs">
    <w:name w:val="highlightbrs"/>
    <w:rsid w:val="00477CE1"/>
  </w:style>
  <w:style w:type="paragraph" w:customStyle="1" w:styleId="texto1">
    <w:name w:val="texto1"/>
    <w:basedOn w:val="Normal"/>
    <w:rsid w:val="007F7C85"/>
    <w:pPr>
      <w:spacing w:before="100" w:beforeAutospacing="1" w:after="100" w:afterAutospacing="1"/>
    </w:pPr>
    <w:rPr>
      <w:rFonts w:ascii="Times New Roman" w:hAnsi="Times New Roman" w:cs="Times New Roman"/>
    </w:rPr>
  </w:style>
  <w:style w:type="character" w:customStyle="1" w:styleId="Ttulo3Char">
    <w:name w:val="Título 3 Char"/>
    <w:link w:val="Ttulo3"/>
    <w:rsid w:val="00CB75FE"/>
    <w:rPr>
      <w:rFonts w:ascii="Arial" w:hAnsi="Arial" w:cs="Arial"/>
      <w:b/>
      <w:bCs/>
      <w:sz w:val="22"/>
    </w:rPr>
  </w:style>
  <w:style w:type="character" w:customStyle="1" w:styleId="Ttulo4Char">
    <w:name w:val="Título 4 Char"/>
    <w:link w:val="Ttulo4"/>
    <w:rsid w:val="00CB75FE"/>
    <w:rPr>
      <w:b/>
      <w:bCs/>
      <w:sz w:val="24"/>
      <w:szCs w:val="24"/>
    </w:rPr>
  </w:style>
  <w:style w:type="character" w:customStyle="1" w:styleId="Ttulo5Char">
    <w:name w:val="Título 5 Char"/>
    <w:link w:val="Ttulo5"/>
    <w:rsid w:val="00CB75FE"/>
    <w:rPr>
      <w:b/>
      <w:bCs/>
      <w:szCs w:val="24"/>
    </w:rPr>
  </w:style>
  <w:style w:type="character" w:customStyle="1" w:styleId="Ttulo6Char">
    <w:name w:val="Título 6 Char"/>
    <w:link w:val="Ttulo6"/>
    <w:rsid w:val="00CB75FE"/>
    <w:rPr>
      <w:b/>
      <w:bCs/>
      <w:i/>
      <w:iCs/>
      <w:szCs w:val="24"/>
    </w:rPr>
  </w:style>
  <w:style w:type="character" w:customStyle="1" w:styleId="Ttulo7Char">
    <w:name w:val="Título 7 Char"/>
    <w:link w:val="Ttulo7"/>
    <w:rsid w:val="00CB75FE"/>
    <w:rPr>
      <w:b/>
      <w:bCs/>
      <w:sz w:val="28"/>
      <w:szCs w:val="24"/>
    </w:rPr>
  </w:style>
  <w:style w:type="character" w:customStyle="1" w:styleId="CabealhoChar">
    <w:name w:val="Cabeçalho Char"/>
    <w:link w:val="Cabealho"/>
    <w:uiPriority w:val="99"/>
    <w:rsid w:val="00CB75FE"/>
    <w:rPr>
      <w:rFonts w:ascii="Courier New" w:hAnsi="Courier New" w:cs="Courier New"/>
      <w:sz w:val="24"/>
      <w:szCs w:val="24"/>
    </w:rPr>
  </w:style>
  <w:style w:type="character" w:customStyle="1" w:styleId="RodapChar">
    <w:name w:val="Rodapé Char"/>
    <w:link w:val="Rodap"/>
    <w:rsid w:val="00CB75FE"/>
    <w:rPr>
      <w:rFonts w:ascii="Courier New" w:hAnsi="Courier New" w:cs="Courier New"/>
      <w:sz w:val="24"/>
      <w:szCs w:val="24"/>
    </w:rPr>
  </w:style>
  <w:style w:type="character" w:customStyle="1" w:styleId="TextodebaloChar">
    <w:name w:val="Texto de balão Char"/>
    <w:link w:val="Textodebalo"/>
    <w:uiPriority w:val="99"/>
    <w:semiHidden/>
    <w:rsid w:val="00CB75FE"/>
    <w:rPr>
      <w:rFonts w:ascii="Tahoma" w:hAnsi="Tahoma" w:cs="Tahoma"/>
      <w:sz w:val="16"/>
      <w:szCs w:val="16"/>
    </w:rPr>
  </w:style>
  <w:style w:type="paragraph" w:styleId="SemEspaamento">
    <w:name w:val="No Spacing"/>
    <w:uiPriority w:val="1"/>
    <w:qFormat/>
    <w:rsid w:val="00CB75FE"/>
    <w:rPr>
      <w:rFonts w:ascii="Calibri" w:eastAsia="Calibri" w:hAnsi="Calibri"/>
      <w:sz w:val="22"/>
      <w:szCs w:val="22"/>
      <w:lang w:eastAsia="en-US"/>
    </w:rPr>
  </w:style>
  <w:style w:type="paragraph" w:customStyle="1" w:styleId="ALTERNATIVA">
    <w:name w:val="ALTERNATIVA"/>
    <w:basedOn w:val="Normal"/>
    <w:uiPriority w:val="99"/>
    <w:rsid w:val="00CB75FE"/>
    <w:pPr>
      <w:widowControl w:val="0"/>
      <w:autoSpaceDE w:val="0"/>
      <w:autoSpaceDN w:val="0"/>
      <w:adjustRightInd w:val="0"/>
      <w:spacing w:after="57" w:line="220" w:lineRule="atLeast"/>
      <w:ind w:left="283" w:hanging="283"/>
      <w:jc w:val="both"/>
      <w:textAlignment w:val="center"/>
    </w:pPr>
    <w:rPr>
      <w:rFonts w:ascii="Myriad Pro" w:hAnsi="Myriad Pro" w:cs="Myriad Pro"/>
      <w:color w:val="000000"/>
      <w:sz w:val="18"/>
      <w:szCs w:val="18"/>
      <w:lang w:eastAsia="en-US"/>
    </w:rPr>
  </w:style>
  <w:style w:type="paragraph" w:customStyle="1" w:styleId="QUESTO-ENUNCIADO">
    <w:name w:val="QUESTÃO - ENUNCIADO"/>
    <w:basedOn w:val="ALTERNATIVA"/>
    <w:uiPriority w:val="99"/>
    <w:rsid w:val="00CB75FE"/>
    <w:pPr>
      <w:pBdr>
        <w:top w:val="single" w:sz="8" w:space="11" w:color="000000"/>
      </w:pBdr>
      <w:tabs>
        <w:tab w:val="left" w:pos="340"/>
      </w:tabs>
      <w:spacing w:before="170"/>
      <w:ind w:left="0" w:firstLine="0"/>
    </w:pPr>
  </w:style>
  <w:style w:type="character" w:customStyle="1" w:styleId="BOLD">
    <w:name w:val="BOLD"/>
    <w:uiPriority w:val="99"/>
    <w:rsid w:val="00CB75FE"/>
    <w:rPr>
      <w:b/>
      <w:bCs/>
      <w:u w:val="none"/>
    </w:rPr>
  </w:style>
  <w:style w:type="paragraph" w:customStyle="1" w:styleId="info">
    <w:name w:val="info"/>
    <w:basedOn w:val="Normal"/>
    <w:rsid w:val="00CB75FE"/>
    <w:pPr>
      <w:spacing w:before="100" w:beforeAutospacing="1" w:after="100" w:afterAutospacing="1"/>
    </w:pPr>
    <w:rPr>
      <w:rFonts w:ascii="Times New Roman" w:hAnsi="Times New Roman" w:cs="Times New Roman"/>
    </w:rPr>
  </w:style>
  <w:style w:type="paragraph" w:customStyle="1" w:styleId="snippet">
    <w:name w:val="snippet"/>
    <w:basedOn w:val="Normal"/>
    <w:rsid w:val="00CB75FE"/>
    <w:pPr>
      <w:spacing w:before="100" w:beforeAutospacing="1" w:after="100" w:afterAutospacing="1"/>
    </w:pPr>
    <w:rPr>
      <w:rFonts w:ascii="Times New Roman" w:hAnsi="Times New Roman" w:cs="Times New Roman"/>
    </w:rPr>
  </w:style>
  <w:style w:type="paragraph" w:customStyle="1" w:styleId="ittext">
    <w:name w:val="ittext"/>
    <w:basedOn w:val="Normal"/>
    <w:rsid w:val="00CB75FE"/>
    <w:pPr>
      <w:spacing w:before="100" w:beforeAutospacing="1" w:after="100" w:afterAutospacing="1"/>
    </w:pPr>
    <w:rPr>
      <w:rFonts w:ascii="Times New Roman" w:hAnsi="Times New Roman" w:cs="Times New Roman"/>
    </w:rPr>
  </w:style>
  <w:style w:type="paragraph" w:styleId="Recuodecorpodetexto3">
    <w:name w:val="Body Text Indent 3"/>
    <w:basedOn w:val="Normal"/>
    <w:link w:val="Recuodecorpodetexto3Char"/>
    <w:rsid w:val="00CB75FE"/>
    <w:pPr>
      <w:ind w:firstLine="360"/>
      <w:jc w:val="both"/>
    </w:pPr>
    <w:rPr>
      <w:rFonts w:ascii="Times New Roman" w:hAnsi="Times New Roman" w:cs="Times New Roman"/>
    </w:rPr>
  </w:style>
  <w:style w:type="character" w:customStyle="1" w:styleId="Recuodecorpodetexto3Char">
    <w:name w:val="Recuo de corpo de texto 3 Char"/>
    <w:link w:val="Recuodecorpodetexto3"/>
    <w:rsid w:val="00CB75FE"/>
    <w:rPr>
      <w:sz w:val="24"/>
      <w:szCs w:val="24"/>
    </w:rPr>
  </w:style>
  <w:style w:type="paragraph" w:styleId="Recuodecorpodetexto">
    <w:name w:val="Body Text Indent"/>
    <w:basedOn w:val="Normal"/>
    <w:link w:val="RecuodecorpodetextoChar"/>
    <w:unhideWhenUsed/>
    <w:rsid w:val="00CB75FE"/>
    <w:pPr>
      <w:spacing w:after="120" w:line="276" w:lineRule="auto"/>
      <w:ind w:left="283"/>
    </w:pPr>
    <w:rPr>
      <w:rFonts w:ascii="Calibri" w:eastAsia="Calibri" w:hAnsi="Calibri" w:cs="Times New Roman"/>
      <w:sz w:val="22"/>
      <w:szCs w:val="22"/>
      <w:lang w:eastAsia="en-US"/>
    </w:rPr>
  </w:style>
  <w:style w:type="character" w:customStyle="1" w:styleId="RecuodecorpodetextoChar">
    <w:name w:val="Recuo de corpo de texto Char"/>
    <w:link w:val="Recuodecorpodetexto"/>
    <w:uiPriority w:val="99"/>
    <w:rsid w:val="00CB75FE"/>
    <w:rPr>
      <w:rFonts w:ascii="Calibri" w:eastAsia="Calibri" w:hAnsi="Calibri"/>
      <w:sz w:val="22"/>
      <w:szCs w:val="22"/>
      <w:lang w:eastAsia="en-US"/>
    </w:rPr>
  </w:style>
  <w:style w:type="paragraph" w:styleId="Recuodecorpodetexto2">
    <w:name w:val="Body Text Indent 2"/>
    <w:basedOn w:val="Normal"/>
    <w:link w:val="Recuodecorpodetexto2Char"/>
    <w:unhideWhenUsed/>
    <w:rsid w:val="00CB75FE"/>
    <w:pPr>
      <w:spacing w:after="120" w:line="480" w:lineRule="auto"/>
      <w:ind w:left="283"/>
    </w:pPr>
    <w:rPr>
      <w:rFonts w:ascii="Calibri" w:eastAsia="Calibri" w:hAnsi="Calibri" w:cs="Times New Roman"/>
      <w:sz w:val="22"/>
      <w:szCs w:val="22"/>
      <w:lang w:eastAsia="en-US"/>
    </w:rPr>
  </w:style>
  <w:style w:type="character" w:customStyle="1" w:styleId="Recuodecorpodetexto2Char">
    <w:name w:val="Recuo de corpo de texto 2 Char"/>
    <w:link w:val="Recuodecorpodetexto2"/>
    <w:uiPriority w:val="99"/>
    <w:rsid w:val="00CB75FE"/>
    <w:rPr>
      <w:rFonts w:ascii="Calibri" w:eastAsia="Calibri" w:hAnsi="Calibri"/>
      <w:sz w:val="22"/>
      <w:szCs w:val="22"/>
      <w:lang w:eastAsia="en-US"/>
    </w:rPr>
  </w:style>
  <w:style w:type="paragraph" w:styleId="Textoembloco">
    <w:name w:val="Block Text"/>
    <w:basedOn w:val="Normal"/>
    <w:rsid w:val="00CB75FE"/>
    <w:pPr>
      <w:ind w:left="-540" w:right="-522" w:firstLine="360"/>
      <w:jc w:val="both"/>
    </w:pPr>
    <w:rPr>
      <w:rFonts w:ascii="Times New Roman" w:hAnsi="Times New Roman" w:cs="Times New Roman"/>
      <w:sz w:val="20"/>
    </w:rPr>
  </w:style>
  <w:style w:type="paragraph" w:customStyle="1" w:styleId="ENUNCIADO">
    <w:name w:val="ENUNCIADO"/>
    <w:basedOn w:val="Normal"/>
    <w:uiPriority w:val="99"/>
    <w:rsid w:val="00CB75FE"/>
    <w:pPr>
      <w:widowControl w:val="0"/>
      <w:tabs>
        <w:tab w:val="left" w:pos="255"/>
      </w:tabs>
      <w:autoSpaceDE w:val="0"/>
      <w:autoSpaceDN w:val="0"/>
      <w:adjustRightInd w:val="0"/>
      <w:spacing w:before="85" w:after="43" w:line="288" w:lineRule="auto"/>
      <w:jc w:val="both"/>
      <w:textAlignment w:val="center"/>
    </w:pPr>
    <w:rPr>
      <w:rFonts w:ascii="Calibri" w:hAnsi="Calibri" w:cs="Calibri"/>
      <w:color w:val="000000"/>
      <w:sz w:val="18"/>
      <w:szCs w:val="18"/>
    </w:rPr>
  </w:style>
  <w:style w:type="character" w:customStyle="1" w:styleId="bold0">
    <w:name w:val="bold"/>
    <w:uiPriority w:val="99"/>
    <w:rsid w:val="00CB75FE"/>
    <w:rPr>
      <w:b/>
    </w:rPr>
  </w:style>
  <w:style w:type="character" w:customStyle="1" w:styleId="highlightbrs1">
    <w:name w:val="highlightbrs1"/>
    <w:rsid w:val="00CB75FE"/>
    <w:rPr>
      <w:b/>
      <w:bCs/>
      <w:color w:val="FF0000"/>
    </w:rPr>
  </w:style>
  <w:style w:type="character" w:customStyle="1" w:styleId="WINGDINGS">
    <w:name w:val="WINGDINGS"/>
    <w:uiPriority w:val="99"/>
    <w:rsid w:val="00CB75FE"/>
    <w:rPr>
      <w:rFonts w:ascii="Wingdings" w:hAnsi="Wingdings" w:cs="Wingdings"/>
      <w:color w:val="000000"/>
    </w:rPr>
  </w:style>
  <w:style w:type="character" w:customStyle="1" w:styleId="ITALIC">
    <w:name w:val="ITALIC"/>
    <w:uiPriority w:val="99"/>
    <w:rsid w:val="00CB75FE"/>
    <w:rPr>
      <w:i/>
      <w:iCs/>
    </w:rPr>
  </w:style>
  <w:style w:type="paragraph" w:customStyle="1" w:styleId="Default">
    <w:name w:val="Default"/>
    <w:rsid w:val="00CB75FE"/>
    <w:pPr>
      <w:autoSpaceDE w:val="0"/>
      <w:autoSpaceDN w:val="0"/>
      <w:adjustRightInd w:val="0"/>
    </w:pPr>
    <w:rPr>
      <w:rFonts w:ascii="Calibri" w:eastAsia="Calibri" w:hAnsi="Calibri" w:cs="Calibri"/>
      <w:color w:val="000000"/>
      <w:sz w:val="24"/>
      <w:szCs w:val="24"/>
      <w:lang w:eastAsia="en-US"/>
    </w:rPr>
  </w:style>
  <w:style w:type="paragraph" w:styleId="Corpodetexto">
    <w:name w:val="Body Text"/>
    <w:basedOn w:val="Normal"/>
    <w:link w:val="CorpodetextoChar"/>
    <w:unhideWhenUsed/>
    <w:rsid w:val="00CB75FE"/>
    <w:pPr>
      <w:spacing w:after="120" w:line="276" w:lineRule="auto"/>
    </w:pPr>
    <w:rPr>
      <w:rFonts w:ascii="Calibri" w:eastAsia="Calibri" w:hAnsi="Calibri" w:cs="Times New Roman"/>
      <w:sz w:val="22"/>
      <w:szCs w:val="22"/>
      <w:lang w:eastAsia="en-US"/>
    </w:rPr>
  </w:style>
  <w:style w:type="character" w:customStyle="1" w:styleId="CorpodetextoChar">
    <w:name w:val="Corpo de texto Char"/>
    <w:link w:val="Corpodetexto"/>
    <w:uiPriority w:val="99"/>
    <w:rsid w:val="00CB75FE"/>
    <w:rPr>
      <w:rFonts w:ascii="Calibri" w:eastAsia="Calibri" w:hAnsi="Calibri"/>
      <w:sz w:val="22"/>
      <w:szCs w:val="22"/>
      <w:lang w:eastAsia="en-US"/>
    </w:rPr>
  </w:style>
  <w:style w:type="paragraph" w:styleId="Corpodetexto2">
    <w:name w:val="Body Text 2"/>
    <w:basedOn w:val="Normal"/>
    <w:link w:val="Corpodetexto2Char"/>
    <w:unhideWhenUsed/>
    <w:rsid w:val="00CB75FE"/>
    <w:pPr>
      <w:spacing w:after="120" w:line="480" w:lineRule="auto"/>
    </w:pPr>
    <w:rPr>
      <w:rFonts w:ascii="Calibri" w:eastAsia="Calibri" w:hAnsi="Calibri" w:cs="Times New Roman"/>
      <w:sz w:val="22"/>
      <w:szCs w:val="22"/>
      <w:lang w:eastAsia="en-US"/>
    </w:rPr>
  </w:style>
  <w:style w:type="character" w:customStyle="1" w:styleId="Corpodetexto2Char">
    <w:name w:val="Corpo de texto 2 Char"/>
    <w:link w:val="Corpodetexto2"/>
    <w:uiPriority w:val="99"/>
    <w:rsid w:val="00CB75FE"/>
    <w:rPr>
      <w:rFonts w:ascii="Calibri" w:eastAsia="Calibri" w:hAnsi="Calibri"/>
      <w:sz w:val="22"/>
      <w:szCs w:val="22"/>
      <w:lang w:eastAsia="en-US"/>
    </w:rPr>
  </w:style>
  <w:style w:type="paragraph" w:styleId="Ttulo">
    <w:name w:val="Title"/>
    <w:basedOn w:val="Normal"/>
    <w:link w:val="TtuloChar"/>
    <w:qFormat/>
    <w:rsid w:val="00CB75FE"/>
    <w:pPr>
      <w:spacing w:line="360" w:lineRule="auto"/>
      <w:jc w:val="center"/>
    </w:pPr>
    <w:rPr>
      <w:rFonts w:ascii="Arial" w:hAnsi="Arial" w:cs="Arial"/>
      <w:b/>
      <w:bCs/>
      <w:u w:val="single"/>
    </w:rPr>
  </w:style>
  <w:style w:type="character" w:customStyle="1" w:styleId="TtuloChar">
    <w:name w:val="Título Char"/>
    <w:link w:val="Ttulo"/>
    <w:rsid w:val="00CB75FE"/>
    <w:rPr>
      <w:rFonts w:ascii="Arial" w:hAnsi="Arial" w:cs="Arial"/>
      <w:b/>
      <w:bCs/>
      <w:sz w:val="24"/>
      <w:szCs w:val="24"/>
      <w:u w:val="single"/>
    </w:rPr>
  </w:style>
  <w:style w:type="character" w:styleId="Nmerodepgina">
    <w:name w:val="page number"/>
    <w:rsid w:val="00CB75FE"/>
  </w:style>
  <w:style w:type="paragraph" w:styleId="Corpodetexto3">
    <w:name w:val="Body Text 3"/>
    <w:basedOn w:val="Normal"/>
    <w:link w:val="Corpodetexto3Char"/>
    <w:rsid w:val="00CB75FE"/>
    <w:pPr>
      <w:spacing w:line="360" w:lineRule="auto"/>
      <w:jc w:val="both"/>
    </w:pPr>
    <w:rPr>
      <w:rFonts w:ascii="Arial" w:hAnsi="Arial" w:cs="Arial"/>
    </w:rPr>
  </w:style>
  <w:style w:type="character" w:customStyle="1" w:styleId="Corpodetexto3Char">
    <w:name w:val="Corpo de texto 3 Char"/>
    <w:link w:val="Corpodetexto3"/>
    <w:rsid w:val="00CB75FE"/>
    <w:rPr>
      <w:rFonts w:ascii="Arial" w:hAnsi="Arial" w:cs="Arial"/>
      <w:sz w:val="24"/>
      <w:szCs w:val="24"/>
    </w:rPr>
  </w:style>
  <w:style w:type="character" w:customStyle="1" w:styleId="modulo1">
    <w:name w:val="modulo1"/>
    <w:rsid w:val="00CB75FE"/>
    <w:rPr>
      <w:rFonts w:ascii="Verdana" w:hAnsi="Verdana" w:hint="default"/>
      <w:strike w:val="0"/>
      <w:dstrike w:val="0"/>
      <w:color w:val="000000"/>
      <w:sz w:val="13"/>
      <w:szCs w:val="13"/>
      <w:u w:val="none"/>
      <w:effect w:val="none"/>
      <w:shd w:val="clear" w:color="auto" w:fill="auto"/>
    </w:rPr>
  </w:style>
  <w:style w:type="character" w:customStyle="1" w:styleId="modulo2">
    <w:name w:val="modulo2"/>
    <w:rsid w:val="00CB75FE"/>
    <w:rPr>
      <w:rFonts w:ascii="Verdana" w:hAnsi="Verdana" w:hint="default"/>
      <w:strike w:val="0"/>
      <w:dstrike w:val="0"/>
      <w:color w:val="000000"/>
      <w:sz w:val="13"/>
      <w:szCs w:val="13"/>
      <w:u w:val="none"/>
      <w:effect w:val="none"/>
      <w:shd w:val="clear" w:color="auto" w:fill="auto"/>
    </w:rPr>
  </w:style>
  <w:style w:type="character" w:customStyle="1" w:styleId="modulo3">
    <w:name w:val="modulo3"/>
    <w:rsid w:val="00CB75FE"/>
    <w:rPr>
      <w:rFonts w:ascii="Verdana" w:hAnsi="Verdana" w:hint="default"/>
      <w:strike w:val="0"/>
      <w:dstrike w:val="0"/>
      <w:color w:val="000000"/>
      <w:sz w:val="13"/>
      <w:szCs w:val="13"/>
      <w:u w:val="none"/>
      <w:effect w:val="none"/>
      <w:shd w:val="clear" w:color="auto" w:fill="auto"/>
    </w:rPr>
  </w:style>
  <w:style w:type="character" w:customStyle="1" w:styleId="modulo4">
    <w:name w:val="modulo4"/>
    <w:rsid w:val="00CB75FE"/>
    <w:rPr>
      <w:rFonts w:ascii="Verdana" w:hAnsi="Verdana" w:hint="default"/>
      <w:strike w:val="0"/>
      <w:dstrike w:val="0"/>
      <w:color w:val="000000"/>
      <w:sz w:val="13"/>
      <w:szCs w:val="13"/>
      <w:u w:val="none"/>
      <w:effect w:val="none"/>
      <w:shd w:val="clear" w:color="auto" w:fill="auto"/>
    </w:rPr>
  </w:style>
  <w:style w:type="character" w:styleId="HiperlinkVisitado">
    <w:name w:val="FollowedHyperlink"/>
    <w:uiPriority w:val="99"/>
    <w:unhideWhenUsed/>
    <w:rsid w:val="00CB75FE"/>
    <w:rPr>
      <w:color w:val="800080"/>
      <w:u w:val="single"/>
    </w:rPr>
  </w:style>
  <w:style w:type="paragraph" w:customStyle="1" w:styleId="TITULO1">
    <w:name w:val="TITULO 1"/>
    <w:basedOn w:val="Normal"/>
    <w:uiPriority w:val="99"/>
    <w:rsid w:val="00CB75FE"/>
    <w:pPr>
      <w:widowControl w:val="0"/>
      <w:autoSpaceDE w:val="0"/>
      <w:autoSpaceDN w:val="0"/>
      <w:adjustRightInd w:val="0"/>
      <w:spacing w:before="113" w:after="57" w:line="288" w:lineRule="auto"/>
      <w:jc w:val="both"/>
      <w:textAlignment w:val="center"/>
    </w:pPr>
    <w:rPr>
      <w:rFonts w:ascii="Myriad Pro" w:hAnsi="Myriad Pro" w:cs="Myriad Pro"/>
      <w:b/>
      <w:bCs/>
      <w:caps/>
      <w:color w:val="000000"/>
      <w:spacing w:val="-2"/>
      <w:sz w:val="16"/>
      <w:szCs w:val="16"/>
      <w:lang w:eastAsia="en-US"/>
    </w:rPr>
  </w:style>
  <w:style w:type="paragraph" w:customStyle="1" w:styleId="TITULO0">
    <w:name w:val="TITULO 0"/>
    <w:basedOn w:val="TITULO1"/>
    <w:uiPriority w:val="99"/>
    <w:rsid w:val="00CB75FE"/>
    <w:pPr>
      <w:pBdr>
        <w:top w:val="single" w:sz="16" w:space="9" w:color="000000"/>
      </w:pBdr>
      <w:tabs>
        <w:tab w:val="left" w:pos="0"/>
      </w:tabs>
      <w:spacing w:before="340" w:after="170"/>
    </w:pPr>
    <w:rPr>
      <w:position w:val="-6"/>
      <w:sz w:val="20"/>
      <w:szCs w:val="20"/>
    </w:rPr>
  </w:style>
  <w:style w:type="paragraph" w:customStyle="1" w:styleId="TITULO2">
    <w:name w:val="TITULO 2"/>
    <w:basedOn w:val="TITULO1"/>
    <w:uiPriority w:val="99"/>
    <w:rsid w:val="00CB75FE"/>
  </w:style>
  <w:style w:type="paragraph" w:customStyle="1" w:styleId="INFORMATIVOchamada">
    <w:name w:val="INFORMATIVO chamada"/>
    <w:basedOn w:val="Normal"/>
    <w:uiPriority w:val="99"/>
    <w:rsid w:val="00CB75FE"/>
    <w:pPr>
      <w:widowControl w:val="0"/>
      <w:tabs>
        <w:tab w:val="left" w:pos="170"/>
      </w:tabs>
      <w:autoSpaceDE w:val="0"/>
      <w:autoSpaceDN w:val="0"/>
      <w:adjustRightInd w:val="0"/>
      <w:spacing w:before="57" w:after="28" w:line="288" w:lineRule="auto"/>
      <w:ind w:left="170" w:hanging="170"/>
      <w:jc w:val="both"/>
      <w:textAlignment w:val="center"/>
    </w:pPr>
    <w:rPr>
      <w:rFonts w:ascii="Myriad Pro" w:eastAsia="MS Mincho" w:hAnsi="Myriad Pro" w:cs="Myriad Pro"/>
      <w:b/>
      <w:bCs/>
      <w:i/>
      <w:iCs/>
      <w:color w:val="000000"/>
      <w:spacing w:val="-1"/>
      <w:sz w:val="14"/>
      <w:szCs w:val="14"/>
    </w:rPr>
  </w:style>
  <w:style w:type="paragraph" w:customStyle="1" w:styleId="informativo">
    <w:name w:val="informativo"/>
    <w:basedOn w:val="Normal"/>
    <w:uiPriority w:val="99"/>
    <w:rsid w:val="00CB75FE"/>
    <w:pPr>
      <w:widowControl w:val="0"/>
      <w:tabs>
        <w:tab w:val="left" w:pos="340"/>
      </w:tabs>
      <w:autoSpaceDE w:val="0"/>
      <w:autoSpaceDN w:val="0"/>
      <w:adjustRightInd w:val="0"/>
      <w:spacing w:after="28" w:line="288" w:lineRule="auto"/>
      <w:ind w:left="170"/>
      <w:jc w:val="both"/>
      <w:textAlignment w:val="center"/>
    </w:pPr>
    <w:rPr>
      <w:rFonts w:ascii="Myriad Pro" w:eastAsia="MS Mincho" w:hAnsi="Myriad Pro" w:cs="Myriad Pro"/>
      <w:color w:val="000000"/>
      <w:sz w:val="14"/>
      <w:szCs w:val="14"/>
    </w:rPr>
  </w:style>
  <w:style w:type="paragraph" w:customStyle="1" w:styleId="paragraph">
    <w:name w:val="paragraph"/>
    <w:basedOn w:val="Normal"/>
    <w:rsid w:val="00ED7217"/>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8C75D5"/>
  </w:style>
  <w:style w:type="character" w:customStyle="1" w:styleId="eop">
    <w:name w:val="eop"/>
    <w:basedOn w:val="Fontepargpadro"/>
    <w:rsid w:val="008C75D5"/>
  </w:style>
  <w:style w:type="character" w:customStyle="1" w:styleId="spellingerror">
    <w:name w:val="spellingerror"/>
    <w:basedOn w:val="Fontepargpadro"/>
    <w:rsid w:val="008C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486">
      <w:bodyDiv w:val="1"/>
      <w:marLeft w:val="0"/>
      <w:marRight w:val="0"/>
      <w:marTop w:val="0"/>
      <w:marBottom w:val="0"/>
      <w:divBdr>
        <w:top w:val="none" w:sz="0" w:space="0" w:color="auto"/>
        <w:left w:val="none" w:sz="0" w:space="0" w:color="auto"/>
        <w:bottom w:val="none" w:sz="0" w:space="0" w:color="auto"/>
        <w:right w:val="none" w:sz="0" w:space="0" w:color="auto"/>
      </w:divBdr>
    </w:div>
    <w:div w:id="16468435">
      <w:bodyDiv w:val="1"/>
      <w:marLeft w:val="0"/>
      <w:marRight w:val="0"/>
      <w:marTop w:val="0"/>
      <w:marBottom w:val="0"/>
      <w:divBdr>
        <w:top w:val="none" w:sz="0" w:space="0" w:color="auto"/>
        <w:left w:val="none" w:sz="0" w:space="0" w:color="auto"/>
        <w:bottom w:val="none" w:sz="0" w:space="0" w:color="auto"/>
        <w:right w:val="none" w:sz="0" w:space="0" w:color="auto"/>
      </w:divBdr>
    </w:div>
    <w:div w:id="46339183">
      <w:bodyDiv w:val="1"/>
      <w:marLeft w:val="0"/>
      <w:marRight w:val="0"/>
      <w:marTop w:val="0"/>
      <w:marBottom w:val="0"/>
      <w:divBdr>
        <w:top w:val="none" w:sz="0" w:space="0" w:color="auto"/>
        <w:left w:val="none" w:sz="0" w:space="0" w:color="auto"/>
        <w:bottom w:val="none" w:sz="0" w:space="0" w:color="auto"/>
        <w:right w:val="none" w:sz="0" w:space="0" w:color="auto"/>
      </w:divBdr>
    </w:div>
    <w:div w:id="69348245">
      <w:bodyDiv w:val="1"/>
      <w:marLeft w:val="0"/>
      <w:marRight w:val="0"/>
      <w:marTop w:val="0"/>
      <w:marBottom w:val="0"/>
      <w:divBdr>
        <w:top w:val="none" w:sz="0" w:space="0" w:color="auto"/>
        <w:left w:val="none" w:sz="0" w:space="0" w:color="auto"/>
        <w:bottom w:val="none" w:sz="0" w:space="0" w:color="auto"/>
        <w:right w:val="none" w:sz="0" w:space="0" w:color="auto"/>
      </w:divBdr>
    </w:div>
    <w:div w:id="75326761">
      <w:bodyDiv w:val="1"/>
      <w:marLeft w:val="0"/>
      <w:marRight w:val="0"/>
      <w:marTop w:val="0"/>
      <w:marBottom w:val="0"/>
      <w:divBdr>
        <w:top w:val="none" w:sz="0" w:space="0" w:color="auto"/>
        <w:left w:val="none" w:sz="0" w:space="0" w:color="auto"/>
        <w:bottom w:val="none" w:sz="0" w:space="0" w:color="auto"/>
        <w:right w:val="none" w:sz="0" w:space="0" w:color="auto"/>
      </w:divBdr>
    </w:div>
    <w:div w:id="77598304">
      <w:bodyDiv w:val="1"/>
      <w:marLeft w:val="0"/>
      <w:marRight w:val="0"/>
      <w:marTop w:val="0"/>
      <w:marBottom w:val="0"/>
      <w:divBdr>
        <w:top w:val="none" w:sz="0" w:space="0" w:color="auto"/>
        <w:left w:val="none" w:sz="0" w:space="0" w:color="auto"/>
        <w:bottom w:val="none" w:sz="0" w:space="0" w:color="auto"/>
        <w:right w:val="none" w:sz="0" w:space="0" w:color="auto"/>
      </w:divBdr>
    </w:div>
    <w:div w:id="78987648">
      <w:bodyDiv w:val="1"/>
      <w:marLeft w:val="0"/>
      <w:marRight w:val="0"/>
      <w:marTop w:val="0"/>
      <w:marBottom w:val="0"/>
      <w:divBdr>
        <w:top w:val="none" w:sz="0" w:space="0" w:color="auto"/>
        <w:left w:val="none" w:sz="0" w:space="0" w:color="auto"/>
        <w:bottom w:val="none" w:sz="0" w:space="0" w:color="auto"/>
        <w:right w:val="none" w:sz="0" w:space="0" w:color="auto"/>
      </w:divBdr>
    </w:div>
    <w:div w:id="79916086">
      <w:bodyDiv w:val="1"/>
      <w:marLeft w:val="0"/>
      <w:marRight w:val="0"/>
      <w:marTop w:val="0"/>
      <w:marBottom w:val="0"/>
      <w:divBdr>
        <w:top w:val="none" w:sz="0" w:space="0" w:color="auto"/>
        <w:left w:val="none" w:sz="0" w:space="0" w:color="auto"/>
        <w:bottom w:val="none" w:sz="0" w:space="0" w:color="auto"/>
        <w:right w:val="none" w:sz="0" w:space="0" w:color="auto"/>
      </w:divBdr>
    </w:div>
    <w:div w:id="88235461">
      <w:bodyDiv w:val="1"/>
      <w:marLeft w:val="0"/>
      <w:marRight w:val="0"/>
      <w:marTop w:val="0"/>
      <w:marBottom w:val="0"/>
      <w:divBdr>
        <w:top w:val="none" w:sz="0" w:space="0" w:color="auto"/>
        <w:left w:val="none" w:sz="0" w:space="0" w:color="auto"/>
        <w:bottom w:val="none" w:sz="0" w:space="0" w:color="auto"/>
        <w:right w:val="none" w:sz="0" w:space="0" w:color="auto"/>
      </w:divBdr>
    </w:div>
    <w:div w:id="100230099">
      <w:bodyDiv w:val="1"/>
      <w:marLeft w:val="0"/>
      <w:marRight w:val="0"/>
      <w:marTop w:val="0"/>
      <w:marBottom w:val="0"/>
      <w:divBdr>
        <w:top w:val="none" w:sz="0" w:space="0" w:color="auto"/>
        <w:left w:val="none" w:sz="0" w:space="0" w:color="auto"/>
        <w:bottom w:val="none" w:sz="0" w:space="0" w:color="auto"/>
        <w:right w:val="none" w:sz="0" w:space="0" w:color="auto"/>
      </w:divBdr>
    </w:div>
    <w:div w:id="102460858">
      <w:bodyDiv w:val="1"/>
      <w:marLeft w:val="0"/>
      <w:marRight w:val="0"/>
      <w:marTop w:val="0"/>
      <w:marBottom w:val="0"/>
      <w:divBdr>
        <w:top w:val="none" w:sz="0" w:space="0" w:color="auto"/>
        <w:left w:val="none" w:sz="0" w:space="0" w:color="auto"/>
        <w:bottom w:val="none" w:sz="0" w:space="0" w:color="auto"/>
        <w:right w:val="none" w:sz="0" w:space="0" w:color="auto"/>
      </w:divBdr>
    </w:div>
    <w:div w:id="129396861">
      <w:bodyDiv w:val="1"/>
      <w:marLeft w:val="0"/>
      <w:marRight w:val="0"/>
      <w:marTop w:val="0"/>
      <w:marBottom w:val="0"/>
      <w:divBdr>
        <w:top w:val="none" w:sz="0" w:space="0" w:color="auto"/>
        <w:left w:val="none" w:sz="0" w:space="0" w:color="auto"/>
        <w:bottom w:val="none" w:sz="0" w:space="0" w:color="auto"/>
        <w:right w:val="none" w:sz="0" w:space="0" w:color="auto"/>
      </w:divBdr>
    </w:div>
    <w:div w:id="138378355">
      <w:bodyDiv w:val="1"/>
      <w:marLeft w:val="0"/>
      <w:marRight w:val="0"/>
      <w:marTop w:val="0"/>
      <w:marBottom w:val="0"/>
      <w:divBdr>
        <w:top w:val="none" w:sz="0" w:space="0" w:color="auto"/>
        <w:left w:val="none" w:sz="0" w:space="0" w:color="auto"/>
        <w:bottom w:val="none" w:sz="0" w:space="0" w:color="auto"/>
        <w:right w:val="none" w:sz="0" w:space="0" w:color="auto"/>
      </w:divBdr>
    </w:div>
    <w:div w:id="150761124">
      <w:bodyDiv w:val="1"/>
      <w:marLeft w:val="0"/>
      <w:marRight w:val="0"/>
      <w:marTop w:val="0"/>
      <w:marBottom w:val="0"/>
      <w:divBdr>
        <w:top w:val="none" w:sz="0" w:space="0" w:color="auto"/>
        <w:left w:val="none" w:sz="0" w:space="0" w:color="auto"/>
        <w:bottom w:val="none" w:sz="0" w:space="0" w:color="auto"/>
        <w:right w:val="none" w:sz="0" w:space="0" w:color="auto"/>
      </w:divBdr>
    </w:div>
    <w:div w:id="183370958">
      <w:bodyDiv w:val="1"/>
      <w:marLeft w:val="0"/>
      <w:marRight w:val="0"/>
      <w:marTop w:val="0"/>
      <w:marBottom w:val="0"/>
      <w:divBdr>
        <w:top w:val="none" w:sz="0" w:space="0" w:color="auto"/>
        <w:left w:val="none" w:sz="0" w:space="0" w:color="auto"/>
        <w:bottom w:val="none" w:sz="0" w:space="0" w:color="auto"/>
        <w:right w:val="none" w:sz="0" w:space="0" w:color="auto"/>
      </w:divBdr>
    </w:div>
    <w:div w:id="191959995">
      <w:bodyDiv w:val="1"/>
      <w:marLeft w:val="0"/>
      <w:marRight w:val="0"/>
      <w:marTop w:val="0"/>
      <w:marBottom w:val="0"/>
      <w:divBdr>
        <w:top w:val="none" w:sz="0" w:space="0" w:color="auto"/>
        <w:left w:val="none" w:sz="0" w:space="0" w:color="auto"/>
        <w:bottom w:val="none" w:sz="0" w:space="0" w:color="auto"/>
        <w:right w:val="none" w:sz="0" w:space="0" w:color="auto"/>
      </w:divBdr>
    </w:div>
    <w:div w:id="194857649">
      <w:bodyDiv w:val="1"/>
      <w:marLeft w:val="0"/>
      <w:marRight w:val="0"/>
      <w:marTop w:val="0"/>
      <w:marBottom w:val="0"/>
      <w:divBdr>
        <w:top w:val="none" w:sz="0" w:space="0" w:color="auto"/>
        <w:left w:val="none" w:sz="0" w:space="0" w:color="auto"/>
        <w:bottom w:val="none" w:sz="0" w:space="0" w:color="auto"/>
        <w:right w:val="none" w:sz="0" w:space="0" w:color="auto"/>
      </w:divBdr>
    </w:div>
    <w:div w:id="198202909">
      <w:bodyDiv w:val="1"/>
      <w:marLeft w:val="0"/>
      <w:marRight w:val="0"/>
      <w:marTop w:val="0"/>
      <w:marBottom w:val="0"/>
      <w:divBdr>
        <w:top w:val="none" w:sz="0" w:space="0" w:color="auto"/>
        <w:left w:val="none" w:sz="0" w:space="0" w:color="auto"/>
        <w:bottom w:val="none" w:sz="0" w:space="0" w:color="auto"/>
        <w:right w:val="none" w:sz="0" w:space="0" w:color="auto"/>
      </w:divBdr>
    </w:div>
    <w:div w:id="218520096">
      <w:bodyDiv w:val="1"/>
      <w:marLeft w:val="0"/>
      <w:marRight w:val="0"/>
      <w:marTop w:val="0"/>
      <w:marBottom w:val="0"/>
      <w:divBdr>
        <w:top w:val="none" w:sz="0" w:space="0" w:color="auto"/>
        <w:left w:val="none" w:sz="0" w:space="0" w:color="auto"/>
        <w:bottom w:val="none" w:sz="0" w:space="0" w:color="auto"/>
        <w:right w:val="none" w:sz="0" w:space="0" w:color="auto"/>
      </w:divBdr>
    </w:div>
    <w:div w:id="225840903">
      <w:bodyDiv w:val="1"/>
      <w:marLeft w:val="0"/>
      <w:marRight w:val="0"/>
      <w:marTop w:val="0"/>
      <w:marBottom w:val="0"/>
      <w:divBdr>
        <w:top w:val="none" w:sz="0" w:space="0" w:color="auto"/>
        <w:left w:val="none" w:sz="0" w:space="0" w:color="auto"/>
        <w:bottom w:val="none" w:sz="0" w:space="0" w:color="auto"/>
        <w:right w:val="none" w:sz="0" w:space="0" w:color="auto"/>
      </w:divBdr>
    </w:div>
    <w:div w:id="229462182">
      <w:bodyDiv w:val="1"/>
      <w:marLeft w:val="0"/>
      <w:marRight w:val="0"/>
      <w:marTop w:val="0"/>
      <w:marBottom w:val="0"/>
      <w:divBdr>
        <w:top w:val="none" w:sz="0" w:space="0" w:color="auto"/>
        <w:left w:val="none" w:sz="0" w:space="0" w:color="auto"/>
        <w:bottom w:val="none" w:sz="0" w:space="0" w:color="auto"/>
        <w:right w:val="none" w:sz="0" w:space="0" w:color="auto"/>
      </w:divBdr>
    </w:div>
    <w:div w:id="251476372">
      <w:bodyDiv w:val="1"/>
      <w:marLeft w:val="0"/>
      <w:marRight w:val="0"/>
      <w:marTop w:val="0"/>
      <w:marBottom w:val="0"/>
      <w:divBdr>
        <w:top w:val="none" w:sz="0" w:space="0" w:color="auto"/>
        <w:left w:val="none" w:sz="0" w:space="0" w:color="auto"/>
        <w:bottom w:val="none" w:sz="0" w:space="0" w:color="auto"/>
        <w:right w:val="none" w:sz="0" w:space="0" w:color="auto"/>
      </w:divBdr>
    </w:div>
    <w:div w:id="252519346">
      <w:bodyDiv w:val="1"/>
      <w:marLeft w:val="0"/>
      <w:marRight w:val="0"/>
      <w:marTop w:val="0"/>
      <w:marBottom w:val="0"/>
      <w:divBdr>
        <w:top w:val="none" w:sz="0" w:space="0" w:color="auto"/>
        <w:left w:val="none" w:sz="0" w:space="0" w:color="auto"/>
        <w:bottom w:val="none" w:sz="0" w:space="0" w:color="auto"/>
        <w:right w:val="none" w:sz="0" w:space="0" w:color="auto"/>
      </w:divBdr>
    </w:div>
    <w:div w:id="254704490">
      <w:bodyDiv w:val="1"/>
      <w:marLeft w:val="0"/>
      <w:marRight w:val="0"/>
      <w:marTop w:val="0"/>
      <w:marBottom w:val="0"/>
      <w:divBdr>
        <w:top w:val="none" w:sz="0" w:space="0" w:color="auto"/>
        <w:left w:val="none" w:sz="0" w:space="0" w:color="auto"/>
        <w:bottom w:val="none" w:sz="0" w:space="0" w:color="auto"/>
        <w:right w:val="none" w:sz="0" w:space="0" w:color="auto"/>
      </w:divBdr>
    </w:div>
    <w:div w:id="260724540">
      <w:bodyDiv w:val="1"/>
      <w:marLeft w:val="0"/>
      <w:marRight w:val="0"/>
      <w:marTop w:val="0"/>
      <w:marBottom w:val="0"/>
      <w:divBdr>
        <w:top w:val="none" w:sz="0" w:space="0" w:color="auto"/>
        <w:left w:val="none" w:sz="0" w:space="0" w:color="auto"/>
        <w:bottom w:val="none" w:sz="0" w:space="0" w:color="auto"/>
        <w:right w:val="none" w:sz="0" w:space="0" w:color="auto"/>
      </w:divBdr>
    </w:div>
    <w:div w:id="270552420">
      <w:bodyDiv w:val="1"/>
      <w:marLeft w:val="0"/>
      <w:marRight w:val="0"/>
      <w:marTop w:val="0"/>
      <w:marBottom w:val="0"/>
      <w:divBdr>
        <w:top w:val="none" w:sz="0" w:space="0" w:color="auto"/>
        <w:left w:val="none" w:sz="0" w:space="0" w:color="auto"/>
        <w:bottom w:val="none" w:sz="0" w:space="0" w:color="auto"/>
        <w:right w:val="none" w:sz="0" w:space="0" w:color="auto"/>
      </w:divBdr>
    </w:div>
    <w:div w:id="275336996">
      <w:bodyDiv w:val="1"/>
      <w:marLeft w:val="0"/>
      <w:marRight w:val="0"/>
      <w:marTop w:val="0"/>
      <w:marBottom w:val="0"/>
      <w:divBdr>
        <w:top w:val="none" w:sz="0" w:space="0" w:color="auto"/>
        <w:left w:val="none" w:sz="0" w:space="0" w:color="auto"/>
        <w:bottom w:val="none" w:sz="0" w:space="0" w:color="auto"/>
        <w:right w:val="none" w:sz="0" w:space="0" w:color="auto"/>
      </w:divBdr>
    </w:div>
    <w:div w:id="276135459">
      <w:bodyDiv w:val="1"/>
      <w:marLeft w:val="0"/>
      <w:marRight w:val="0"/>
      <w:marTop w:val="0"/>
      <w:marBottom w:val="0"/>
      <w:divBdr>
        <w:top w:val="none" w:sz="0" w:space="0" w:color="auto"/>
        <w:left w:val="none" w:sz="0" w:space="0" w:color="auto"/>
        <w:bottom w:val="none" w:sz="0" w:space="0" w:color="auto"/>
        <w:right w:val="none" w:sz="0" w:space="0" w:color="auto"/>
      </w:divBdr>
    </w:div>
    <w:div w:id="293557855">
      <w:bodyDiv w:val="1"/>
      <w:marLeft w:val="0"/>
      <w:marRight w:val="0"/>
      <w:marTop w:val="0"/>
      <w:marBottom w:val="0"/>
      <w:divBdr>
        <w:top w:val="none" w:sz="0" w:space="0" w:color="auto"/>
        <w:left w:val="none" w:sz="0" w:space="0" w:color="auto"/>
        <w:bottom w:val="none" w:sz="0" w:space="0" w:color="auto"/>
        <w:right w:val="none" w:sz="0" w:space="0" w:color="auto"/>
      </w:divBdr>
    </w:div>
    <w:div w:id="303967509">
      <w:bodyDiv w:val="1"/>
      <w:marLeft w:val="0"/>
      <w:marRight w:val="0"/>
      <w:marTop w:val="0"/>
      <w:marBottom w:val="0"/>
      <w:divBdr>
        <w:top w:val="none" w:sz="0" w:space="0" w:color="auto"/>
        <w:left w:val="none" w:sz="0" w:space="0" w:color="auto"/>
        <w:bottom w:val="none" w:sz="0" w:space="0" w:color="auto"/>
        <w:right w:val="none" w:sz="0" w:space="0" w:color="auto"/>
      </w:divBdr>
    </w:div>
    <w:div w:id="312295708">
      <w:bodyDiv w:val="1"/>
      <w:marLeft w:val="0"/>
      <w:marRight w:val="0"/>
      <w:marTop w:val="0"/>
      <w:marBottom w:val="0"/>
      <w:divBdr>
        <w:top w:val="none" w:sz="0" w:space="0" w:color="auto"/>
        <w:left w:val="none" w:sz="0" w:space="0" w:color="auto"/>
        <w:bottom w:val="none" w:sz="0" w:space="0" w:color="auto"/>
        <w:right w:val="none" w:sz="0" w:space="0" w:color="auto"/>
      </w:divBdr>
    </w:div>
    <w:div w:id="319045887">
      <w:bodyDiv w:val="1"/>
      <w:marLeft w:val="0"/>
      <w:marRight w:val="0"/>
      <w:marTop w:val="0"/>
      <w:marBottom w:val="0"/>
      <w:divBdr>
        <w:top w:val="none" w:sz="0" w:space="0" w:color="auto"/>
        <w:left w:val="none" w:sz="0" w:space="0" w:color="auto"/>
        <w:bottom w:val="none" w:sz="0" w:space="0" w:color="auto"/>
        <w:right w:val="none" w:sz="0" w:space="0" w:color="auto"/>
      </w:divBdr>
    </w:div>
    <w:div w:id="326640830">
      <w:bodyDiv w:val="1"/>
      <w:marLeft w:val="0"/>
      <w:marRight w:val="0"/>
      <w:marTop w:val="0"/>
      <w:marBottom w:val="0"/>
      <w:divBdr>
        <w:top w:val="none" w:sz="0" w:space="0" w:color="auto"/>
        <w:left w:val="none" w:sz="0" w:space="0" w:color="auto"/>
        <w:bottom w:val="none" w:sz="0" w:space="0" w:color="auto"/>
        <w:right w:val="none" w:sz="0" w:space="0" w:color="auto"/>
      </w:divBdr>
    </w:div>
    <w:div w:id="332731726">
      <w:bodyDiv w:val="1"/>
      <w:marLeft w:val="0"/>
      <w:marRight w:val="0"/>
      <w:marTop w:val="0"/>
      <w:marBottom w:val="0"/>
      <w:divBdr>
        <w:top w:val="none" w:sz="0" w:space="0" w:color="auto"/>
        <w:left w:val="none" w:sz="0" w:space="0" w:color="auto"/>
        <w:bottom w:val="none" w:sz="0" w:space="0" w:color="auto"/>
        <w:right w:val="none" w:sz="0" w:space="0" w:color="auto"/>
      </w:divBdr>
    </w:div>
    <w:div w:id="352847421">
      <w:bodyDiv w:val="1"/>
      <w:marLeft w:val="0"/>
      <w:marRight w:val="0"/>
      <w:marTop w:val="0"/>
      <w:marBottom w:val="0"/>
      <w:divBdr>
        <w:top w:val="none" w:sz="0" w:space="0" w:color="auto"/>
        <w:left w:val="none" w:sz="0" w:space="0" w:color="auto"/>
        <w:bottom w:val="none" w:sz="0" w:space="0" w:color="auto"/>
        <w:right w:val="none" w:sz="0" w:space="0" w:color="auto"/>
      </w:divBdr>
    </w:div>
    <w:div w:id="356201799">
      <w:bodyDiv w:val="1"/>
      <w:marLeft w:val="0"/>
      <w:marRight w:val="0"/>
      <w:marTop w:val="0"/>
      <w:marBottom w:val="0"/>
      <w:divBdr>
        <w:top w:val="none" w:sz="0" w:space="0" w:color="auto"/>
        <w:left w:val="none" w:sz="0" w:space="0" w:color="auto"/>
        <w:bottom w:val="none" w:sz="0" w:space="0" w:color="auto"/>
        <w:right w:val="none" w:sz="0" w:space="0" w:color="auto"/>
      </w:divBdr>
    </w:div>
    <w:div w:id="358091145">
      <w:bodyDiv w:val="1"/>
      <w:marLeft w:val="0"/>
      <w:marRight w:val="0"/>
      <w:marTop w:val="0"/>
      <w:marBottom w:val="0"/>
      <w:divBdr>
        <w:top w:val="none" w:sz="0" w:space="0" w:color="auto"/>
        <w:left w:val="none" w:sz="0" w:space="0" w:color="auto"/>
        <w:bottom w:val="none" w:sz="0" w:space="0" w:color="auto"/>
        <w:right w:val="none" w:sz="0" w:space="0" w:color="auto"/>
      </w:divBdr>
    </w:div>
    <w:div w:id="369646787">
      <w:bodyDiv w:val="1"/>
      <w:marLeft w:val="0"/>
      <w:marRight w:val="0"/>
      <w:marTop w:val="0"/>
      <w:marBottom w:val="0"/>
      <w:divBdr>
        <w:top w:val="none" w:sz="0" w:space="0" w:color="auto"/>
        <w:left w:val="none" w:sz="0" w:space="0" w:color="auto"/>
        <w:bottom w:val="none" w:sz="0" w:space="0" w:color="auto"/>
        <w:right w:val="none" w:sz="0" w:space="0" w:color="auto"/>
      </w:divBdr>
    </w:div>
    <w:div w:id="374014036">
      <w:bodyDiv w:val="1"/>
      <w:marLeft w:val="0"/>
      <w:marRight w:val="0"/>
      <w:marTop w:val="0"/>
      <w:marBottom w:val="0"/>
      <w:divBdr>
        <w:top w:val="none" w:sz="0" w:space="0" w:color="auto"/>
        <w:left w:val="none" w:sz="0" w:space="0" w:color="auto"/>
        <w:bottom w:val="none" w:sz="0" w:space="0" w:color="auto"/>
        <w:right w:val="none" w:sz="0" w:space="0" w:color="auto"/>
      </w:divBdr>
    </w:div>
    <w:div w:id="408503708">
      <w:bodyDiv w:val="1"/>
      <w:marLeft w:val="0"/>
      <w:marRight w:val="0"/>
      <w:marTop w:val="0"/>
      <w:marBottom w:val="0"/>
      <w:divBdr>
        <w:top w:val="none" w:sz="0" w:space="0" w:color="auto"/>
        <w:left w:val="none" w:sz="0" w:space="0" w:color="auto"/>
        <w:bottom w:val="none" w:sz="0" w:space="0" w:color="auto"/>
        <w:right w:val="none" w:sz="0" w:space="0" w:color="auto"/>
      </w:divBdr>
      <w:divsChild>
        <w:div w:id="677780017">
          <w:marLeft w:val="0"/>
          <w:marRight w:val="0"/>
          <w:marTop w:val="0"/>
          <w:marBottom w:val="0"/>
          <w:divBdr>
            <w:top w:val="none" w:sz="0" w:space="0" w:color="auto"/>
            <w:left w:val="none" w:sz="0" w:space="0" w:color="auto"/>
            <w:bottom w:val="none" w:sz="0" w:space="0" w:color="auto"/>
            <w:right w:val="none" w:sz="0" w:space="0" w:color="auto"/>
          </w:divBdr>
        </w:div>
        <w:div w:id="2125608791">
          <w:marLeft w:val="0"/>
          <w:marRight w:val="0"/>
          <w:marTop w:val="0"/>
          <w:marBottom w:val="0"/>
          <w:divBdr>
            <w:top w:val="none" w:sz="0" w:space="0" w:color="auto"/>
            <w:left w:val="none" w:sz="0" w:space="0" w:color="auto"/>
            <w:bottom w:val="none" w:sz="0" w:space="0" w:color="auto"/>
            <w:right w:val="none" w:sz="0" w:space="0" w:color="auto"/>
          </w:divBdr>
          <w:divsChild>
            <w:div w:id="1799450682">
              <w:marLeft w:val="336"/>
              <w:marRight w:val="0"/>
              <w:marTop w:val="120"/>
              <w:marBottom w:val="192"/>
              <w:divBdr>
                <w:top w:val="none" w:sz="0" w:space="0" w:color="auto"/>
                <w:left w:val="none" w:sz="0" w:space="0" w:color="auto"/>
                <w:bottom w:val="none" w:sz="0" w:space="0" w:color="auto"/>
                <w:right w:val="none" w:sz="0" w:space="0" w:color="auto"/>
              </w:divBdr>
              <w:divsChild>
                <w:div w:id="176950310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414326682">
      <w:bodyDiv w:val="1"/>
      <w:marLeft w:val="0"/>
      <w:marRight w:val="0"/>
      <w:marTop w:val="0"/>
      <w:marBottom w:val="0"/>
      <w:divBdr>
        <w:top w:val="none" w:sz="0" w:space="0" w:color="auto"/>
        <w:left w:val="none" w:sz="0" w:space="0" w:color="auto"/>
        <w:bottom w:val="none" w:sz="0" w:space="0" w:color="auto"/>
        <w:right w:val="none" w:sz="0" w:space="0" w:color="auto"/>
      </w:divBdr>
    </w:div>
    <w:div w:id="446512862">
      <w:bodyDiv w:val="1"/>
      <w:marLeft w:val="0"/>
      <w:marRight w:val="0"/>
      <w:marTop w:val="0"/>
      <w:marBottom w:val="0"/>
      <w:divBdr>
        <w:top w:val="none" w:sz="0" w:space="0" w:color="auto"/>
        <w:left w:val="none" w:sz="0" w:space="0" w:color="auto"/>
        <w:bottom w:val="none" w:sz="0" w:space="0" w:color="auto"/>
        <w:right w:val="none" w:sz="0" w:space="0" w:color="auto"/>
      </w:divBdr>
    </w:div>
    <w:div w:id="447968526">
      <w:bodyDiv w:val="1"/>
      <w:marLeft w:val="0"/>
      <w:marRight w:val="0"/>
      <w:marTop w:val="0"/>
      <w:marBottom w:val="0"/>
      <w:divBdr>
        <w:top w:val="none" w:sz="0" w:space="0" w:color="auto"/>
        <w:left w:val="none" w:sz="0" w:space="0" w:color="auto"/>
        <w:bottom w:val="none" w:sz="0" w:space="0" w:color="auto"/>
        <w:right w:val="none" w:sz="0" w:space="0" w:color="auto"/>
      </w:divBdr>
    </w:div>
    <w:div w:id="453718286">
      <w:bodyDiv w:val="1"/>
      <w:marLeft w:val="0"/>
      <w:marRight w:val="0"/>
      <w:marTop w:val="0"/>
      <w:marBottom w:val="0"/>
      <w:divBdr>
        <w:top w:val="none" w:sz="0" w:space="0" w:color="auto"/>
        <w:left w:val="none" w:sz="0" w:space="0" w:color="auto"/>
        <w:bottom w:val="none" w:sz="0" w:space="0" w:color="auto"/>
        <w:right w:val="none" w:sz="0" w:space="0" w:color="auto"/>
      </w:divBdr>
    </w:div>
    <w:div w:id="455954678">
      <w:bodyDiv w:val="1"/>
      <w:marLeft w:val="0"/>
      <w:marRight w:val="0"/>
      <w:marTop w:val="0"/>
      <w:marBottom w:val="0"/>
      <w:divBdr>
        <w:top w:val="none" w:sz="0" w:space="0" w:color="auto"/>
        <w:left w:val="none" w:sz="0" w:space="0" w:color="auto"/>
        <w:bottom w:val="none" w:sz="0" w:space="0" w:color="auto"/>
        <w:right w:val="none" w:sz="0" w:space="0" w:color="auto"/>
      </w:divBdr>
    </w:div>
    <w:div w:id="474110417">
      <w:bodyDiv w:val="1"/>
      <w:marLeft w:val="0"/>
      <w:marRight w:val="0"/>
      <w:marTop w:val="0"/>
      <w:marBottom w:val="0"/>
      <w:divBdr>
        <w:top w:val="none" w:sz="0" w:space="0" w:color="auto"/>
        <w:left w:val="none" w:sz="0" w:space="0" w:color="auto"/>
        <w:bottom w:val="none" w:sz="0" w:space="0" w:color="auto"/>
        <w:right w:val="none" w:sz="0" w:space="0" w:color="auto"/>
      </w:divBdr>
    </w:div>
    <w:div w:id="482282026">
      <w:bodyDiv w:val="1"/>
      <w:marLeft w:val="0"/>
      <w:marRight w:val="0"/>
      <w:marTop w:val="0"/>
      <w:marBottom w:val="0"/>
      <w:divBdr>
        <w:top w:val="none" w:sz="0" w:space="0" w:color="auto"/>
        <w:left w:val="none" w:sz="0" w:space="0" w:color="auto"/>
        <w:bottom w:val="none" w:sz="0" w:space="0" w:color="auto"/>
        <w:right w:val="none" w:sz="0" w:space="0" w:color="auto"/>
      </w:divBdr>
    </w:div>
    <w:div w:id="490606865">
      <w:bodyDiv w:val="1"/>
      <w:marLeft w:val="0"/>
      <w:marRight w:val="0"/>
      <w:marTop w:val="0"/>
      <w:marBottom w:val="0"/>
      <w:divBdr>
        <w:top w:val="none" w:sz="0" w:space="0" w:color="auto"/>
        <w:left w:val="none" w:sz="0" w:space="0" w:color="auto"/>
        <w:bottom w:val="none" w:sz="0" w:space="0" w:color="auto"/>
        <w:right w:val="none" w:sz="0" w:space="0" w:color="auto"/>
      </w:divBdr>
    </w:div>
    <w:div w:id="497812496">
      <w:bodyDiv w:val="1"/>
      <w:marLeft w:val="0"/>
      <w:marRight w:val="0"/>
      <w:marTop w:val="0"/>
      <w:marBottom w:val="0"/>
      <w:divBdr>
        <w:top w:val="none" w:sz="0" w:space="0" w:color="auto"/>
        <w:left w:val="none" w:sz="0" w:space="0" w:color="auto"/>
        <w:bottom w:val="none" w:sz="0" w:space="0" w:color="auto"/>
        <w:right w:val="none" w:sz="0" w:space="0" w:color="auto"/>
      </w:divBdr>
    </w:div>
    <w:div w:id="501628601">
      <w:bodyDiv w:val="1"/>
      <w:marLeft w:val="0"/>
      <w:marRight w:val="0"/>
      <w:marTop w:val="0"/>
      <w:marBottom w:val="0"/>
      <w:divBdr>
        <w:top w:val="none" w:sz="0" w:space="0" w:color="auto"/>
        <w:left w:val="none" w:sz="0" w:space="0" w:color="auto"/>
        <w:bottom w:val="none" w:sz="0" w:space="0" w:color="auto"/>
        <w:right w:val="none" w:sz="0" w:space="0" w:color="auto"/>
      </w:divBdr>
    </w:div>
    <w:div w:id="507521603">
      <w:bodyDiv w:val="1"/>
      <w:marLeft w:val="0"/>
      <w:marRight w:val="0"/>
      <w:marTop w:val="0"/>
      <w:marBottom w:val="0"/>
      <w:divBdr>
        <w:top w:val="none" w:sz="0" w:space="0" w:color="auto"/>
        <w:left w:val="none" w:sz="0" w:space="0" w:color="auto"/>
        <w:bottom w:val="none" w:sz="0" w:space="0" w:color="auto"/>
        <w:right w:val="none" w:sz="0" w:space="0" w:color="auto"/>
      </w:divBdr>
    </w:div>
    <w:div w:id="509947266">
      <w:bodyDiv w:val="1"/>
      <w:marLeft w:val="0"/>
      <w:marRight w:val="0"/>
      <w:marTop w:val="0"/>
      <w:marBottom w:val="0"/>
      <w:divBdr>
        <w:top w:val="none" w:sz="0" w:space="0" w:color="auto"/>
        <w:left w:val="none" w:sz="0" w:space="0" w:color="auto"/>
        <w:bottom w:val="none" w:sz="0" w:space="0" w:color="auto"/>
        <w:right w:val="none" w:sz="0" w:space="0" w:color="auto"/>
      </w:divBdr>
    </w:div>
    <w:div w:id="519008013">
      <w:bodyDiv w:val="1"/>
      <w:marLeft w:val="0"/>
      <w:marRight w:val="0"/>
      <w:marTop w:val="0"/>
      <w:marBottom w:val="0"/>
      <w:divBdr>
        <w:top w:val="none" w:sz="0" w:space="0" w:color="auto"/>
        <w:left w:val="none" w:sz="0" w:space="0" w:color="auto"/>
        <w:bottom w:val="none" w:sz="0" w:space="0" w:color="auto"/>
        <w:right w:val="none" w:sz="0" w:space="0" w:color="auto"/>
      </w:divBdr>
    </w:div>
    <w:div w:id="536432535">
      <w:bodyDiv w:val="1"/>
      <w:marLeft w:val="0"/>
      <w:marRight w:val="0"/>
      <w:marTop w:val="0"/>
      <w:marBottom w:val="0"/>
      <w:divBdr>
        <w:top w:val="none" w:sz="0" w:space="0" w:color="auto"/>
        <w:left w:val="none" w:sz="0" w:space="0" w:color="auto"/>
        <w:bottom w:val="none" w:sz="0" w:space="0" w:color="auto"/>
        <w:right w:val="none" w:sz="0" w:space="0" w:color="auto"/>
      </w:divBdr>
    </w:div>
    <w:div w:id="544873274">
      <w:bodyDiv w:val="1"/>
      <w:marLeft w:val="0"/>
      <w:marRight w:val="0"/>
      <w:marTop w:val="0"/>
      <w:marBottom w:val="0"/>
      <w:divBdr>
        <w:top w:val="none" w:sz="0" w:space="0" w:color="auto"/>
        <w:left w:val="none" w:sz="0" w:space="0" w:color="auto"/>
        <w:bottom w:val="none" w:sz="0" w:space="0" w:color="auto"/>
        <w:right w:val="none" w:sz="0" w:space="0" w:color="auto"/>
      </w:divBdr>
    </w:div>
    <w:div w:id="547375747">
      <w:bodyDiv w:val="1"/>
      <w:marLeft w:val="0"/>
      <w:marRight w:val="0"/>
      <w:marTop w:val="0"/>
      <w:marBottom w:val="0"/>
      <w:divBdr>
        <w:top w:val="none" w:sz="0" w:space="0" w:color="auto"/>
        <w:left w:val="none" w:sz="0" w:space="0" w:color="auto"/>
        <w:bottom w:val="none" w:sz="0" w:space="0" w:color="auto"/>
        <w:right w:val="none" w:sz="0" w:space="0" w:color="auto"/>
      </w:divBdr>
      <w:divsChild>
        <w:div w:id="546181459">
          <w:marLeft w:val="600"/>
          <w:marRight w:val="225"/>
          <w:marTop w:val="225"/>
          <w:marBottom w:val="225"/>
          <w:divBdr>
            <w:top w:val="none" w:sz="0" w:space="0" w:color="auto"/>
            <w:left w:val="none" w:sz="0" w:space="0" w:color="auto"/>
            <w:bottom w:val="none" w:sz="0" w:space="0" w:color="auto"/>
            <w:right w:val="none" w:sz="0" w:space="0" w:color="auto"/>
          </w:divBdr>
        </w:div>
        <w:div w:id="2006782691">
          <w:marLeft w:val="0"/>
          <w:marRight w:val="150"/>
          <w:marTop w:val="0"/>
          <w:marBottom w:val="0"/>
          <w:divBdr>
            <w:top w:val="none" w:sz="0" w:space="0" w:color="auto"/>
            <w:left w:val="none" w:sz="0" w:space="0" w:color="auto"/>
            <w:bottom w:val="none" w:sz="0" w:space="0" w:color="auto"/>
            <w:right w:val="none" w:sz="0" w:space="0" w:color="auto"/>
          </w:divBdr>
        </w:div>
      </w:divsChild>
    </w:div>
    <w:div w:id="552691929">
      <w:bodyDiv w:val="1"/>
      <w:marLeft w:val="0"/>
      <w:marRight w:val="0"/>
      <w:marTop w:val="0"/>
      <w:marBottom w:val="0"/>
      <w:divBdr>
        <w:top w:val="none" w:sz="0" w:space="0" w:color="auto"/>
        <w:left w:val="none" w:sz="0" w:space="0" w:color="auto"/>
        <w:bottom w:val="none" w:sz="0" w:space="0" w:color="auto"/>
        <w:right w:val="none" w:sz="0" w:space="0" w:color="auto"/>
      </w:divBdr>
    </w:div>
    <w:div w:id="575550762">
      <w:bodyDiv w:val="1"/>
      <w:marLeft w:val="0"/>
      <w:marRight w:val="0"/>
      <w:marTop w:val="0"/>
      <w:marBottom w:val="0"/>
      <w:divBdr>
        <w:top w:val="none" w:sz="0" w:space="0" w:color="auto"/>
        <w:left w:val="none" w:sz="0" w:space="0" w:color="auto"/>
        <w:bottom w:val="none" w:sz="0" w:space="0" w:color="auto"/>
        <w:right w:val="none" w:sz="0" w:space="0" w:color="auto"/>
      </w:divBdr>
    </w:div>
    <w:div w:id="592978934">
      <w:bodyDiv w:val="1"/>
      <w:marLeft w:val="0"/>
      <w:marRight w:val="0"/>
      <w:marTop w:val="0"/>
      <w:marBottom w:val="0"/>
      <w:divBdr>
        <w:top w:val="none" w:sz="0" w:space="0" w:color="auto"/>
        <w:left w:val="none" w:sz="0" w:space="0" w:color="auto"/>
        <w:bottom w:val="none" w:sz="0" w:space="0" w:color="auto"/>
        <w:right w:val="none" w:sz="0" w:space="0" w:color="auto"/>
      </w:divBdr>
    </w:div>
    <w:div w:id="596523017">
      <w:bodyDiv w:val="1"/>
      <w:marLeft w:val="0"/>
      <w:marRight w:val="0"/>
      <w:marTop w:val="0"/>
      <w:marBottom w:val="0"/>
      <w:divBdr>
        <w:top w:val="none" w:sz="0" w:space="0" w:color="auto"/>
        <w:left w:val="none" w:sz="0" w:space="0" w:color="auto"/>
        <w:bottom w:val="none" w:sz="0" w:space="0" w:color="auto"/>
        <w:right w:val="none" w:sz="0" w:space="0" w:color="auto"/>
      </w:divBdr>
    </w:div>
    <w:div w:id="597177840">
      <w:bodyDiv w:val="1"/>
      <w:marLeft w:val="0"/>
      <w:marRight w:val="0"/>
      <w:marTop w:val="0"/>
      <w:marBottom w:val="0"/>
      <w:divBdr>
        <w:top w:val="none" w:sz="0" w:space="0" w:color="auto"/>
        <w:left w:val="none" w:sz="0" w:space="0" w:color="auto"/>
        <w:bottom w:val="none" w:sz="0" w:space="0" w:color="auto"/>
        <w:right w:val="none" w:sz="0" w:space="0" w:color="auto"/>
      </w:divBdr>
    </w:div>
    <w:div w:id="597635231">
      <w:bodyDiv w:val="1"/>
      <w:marLeft w:val="0"/>
      <w:marRight w:val="0"/>
      <w:marTop w:val="0"/>
      <w:marBottom w:val="0"/>
      <w:divBdr>
        <w:top w:val="none" w:sz="0" w:space="0" w:color="auto"/>
        <w:left w:val="none" w:sz="0" w:space="0" w:color="auto"/>
        <w:bottom w:val="none" w:sz="0" w:space="0" w:color="auto"/>
        <w:right w:val="none" w:sz="0" w:space="0" w:color="auto"/>
      </w:divBdr>
    </w:div>
    <w:div w:id="604504710">
      <w:bodyDiv w:val="1"/>
      <w:marLeft w:val="0"/>
      <w:marRight w:val="0"/>
      <w:marTop w:val="0"/>
      <w:marBottom w:val="0"/>
      <w:divBdr>
        <w:top w:val="none" w:sz="0" w:space="0" w:color="auto"/>
        <w:left w:val="none" w:sz="0" w:space="0" w:color="auto"/>
        <w:bottom w:val="none" w:sz="0" w:space="0" w:color="auto"/>
        <w:right w:val="none" w:sz="0" w:space="0" w:color="auto"/>
      </w:divBdr>
    </w:div>
    <w:div w:id="605843268">
      <w:bodyDiv w:val="1"/>
      <w:marLeft w:val="0"/>
      <w:marRight w:val="0"/>
      <w:marTop w:val="0"/>
      <w:marBottom w:val="0"/>
      <w:divBdr>
        <w:top w:val="none" w:sz="0" w:space="0" w:color="auto"/>
        <w:left w:val="none" w:sz="0" w:space="0" w:color="auto"/>
        <w:bottom w:val="none" w:sz="0" w:space="0" w:color="auto"/>
        <w:right w:val="none" w:sz="0" w:space="0" w:color="auto"/>
      </w:divBdr>
    </w:div>
    <w:div w:id="605892764">
      <w:bodyDiv w:val="1"/>
      <w:marLeft w:val="0"/>
      <w:marRight w:val="0"/>
      <w:marTop w:val="0"/>
      <w:marBottom w:val="0"/>
      <w:divBdr>
        <w:top w:val="none" w:sz="0" w:space="0" w:color="auto"/>
        <w:left w:val="none" w:sz="0" w:space="0" w:color="auto"/>
        <w:bottom w:val="none" w:sz="0" w:space="0" w:color="auto"/>
        <w:right w:val="none" w:sz="0" w:space="0" w:color="auto"/>
      </w:divBdr>
    </w:div>
    <w:div w:id="609821904">
      <w:bodyDiv w:val="1"/>
      <w:marLeft w:val="0"/>
      <w:marRight w:val="0"/>
      <w:marTop w:val="0"/>
      <w:marBottom w:val="0"/>
      <w:divBdr>
        <w:top w:val="none" w:sz="0" w:space="0" w:color="auto"/>
        <w:left w:val="none" w:sz="0" w:space="0" w:color="auto"/>
        <w:bottom w:val="none" w:sz="0" w:space="0" w:color="auto"/>
        <w:right w:val="none" w:sz="0" w:space="0" w:color="auto"/>
      </w:divBdr>
    </w:div>
    <w:div w:id="641547699">
      <w:bodyDiv w:val="1"/>
      <w:marLeft w:val="0"/>
      <w:marRight w:val="0"/>
      <w:marTop w:val="0"/>
      <w:marBottom w:val="0"/>
      <w:divBdr>
        <w:top w:val="none" w:sz="0" w:space="0" w:color="auto"/>
        <w:left w:val="none" w:sz="0" w:space="0" w:color="auto"/>
        <w:bottom w:val="none" w:sz="0" w:space="0" w:color="auto"/>
        <w:right w:val="none" w:sz="0" w:space="0" w:color="auto"/>
      </w:divBdr>
    </w:div>
    <w:div w:id="647252103">
      <w:bodyDiv w:val="1"/>
      <w:marLeft w:val="0"/>
      <w:marRight w:val="0"/>
      <w:marTop w:val="0"/>
      <w:marBottom w:val="0"/>
      <w:divBdr>
        <w:top w:val="none" w:sz="0" w:space="0" w:color="auto"/>
        <w:left w:val="none" w:sz="0" w:space="0" w:color="auto"/>
        <w:bottom w:val="none" w:sz="0" w:space="0" w:color="auto"/>
        <w:right w:val="none" w:sz="0" w:space="0" w:color="auto"/>
      </w:divBdr>
    </w:div>
    <w:div w:id="658118984">
      <w:bodyDiv w:val="1"/>
      <w:marLeft w:val="0"/>
      <w:marRight w:val="0"/>
      <w:marTop w:val="0"/>
      <w:marBottom w:val="0"/>
      <w:divBdr>
        <w:top w:val="none" w:sz="0" w:space="0" w:color="auto"/>
        <w:left w:val="none" w:sz="0" w:space="0" w:color="auto"/>
        <w:bottom w:val="none" w:sz="0" w:space="0" w:color="auto"/>
        <w:right w:val="none" w:sz="0" w:space="0" w:color="auto"/>
      </w:divBdr>
    </w:div>
    <w:div w:id="676544503">
      <w:bodyDiv w:val="1"/>
      <w:marLeft w:val="0"/>
      <w:marRight w:val="0"/>
      <w:marTop w:val="0"/>
      <w:marBottom w:val="0"/>
      <w:divBdr>
        <w:top w:val="none" w:sz="0" w:space="0" w:color="auto"/>
        <w:left w:val="none" w:sz="0" w:space="0" w:color="auto"/>
        <w:bottom w:val="none" w:sz="0" w:space="0" w:color="auto"/>
        <w:right w:val="none" w:sz="0" w:space="0" w:color="auto"/>
      </w:divBdr>
    </w:div>
    <w:div w:id="678776912">
      <w:bodyDiv w:val="1"/>
      <w:marLeft w:val="0"/>
      <w:marRight w:val="0"/>
      <w:marTop w:val="0"/>
      <w:marBottom w:val="0"/>
      <w:divBdr>
        <w:top w:val="none" w:sz="0" w:space="0" w:color="auto"/>
        <w:left w:val="none" w:sz="0" w:space="0" w:color="auto"/>
        <w:bottom w:val="none" w:sz="0" w:space="0" w:color="auto"/>
        <w:right w:val="none" w:sz="0" w:space="0" w:color="auto"/>
      </w:divBdr>
    </w:div>
    <w:div w:id="690296847">
      <w:bodyDiv w:val="1"/>
      <w:marLeft w:val="0"/>
      <w:marRight w:val="0"/>
      <w:marTop w:val="0"/>
      <w:marBottom w:val="0"/>
      <w:divBdr>
        <w:top w:val="none" w:sz="0" w:space="0" w:color="auto"/>
        <w:left w:val="none" w:sz="0" w:space="0" w:color="auto"/>
        <w:bottom w:val="none" w:sz="0" w:space="0" w:color="auto"/>
        <w:right w:val="none" w:sz="0" w:space="0" w:color="auto"/>
      </w:divBdr>
    </w:div>
    <w:div w:id="694619414">
      <w:bodyDiv w:val="1"/>
      <w:marLeft w:val="0"/>
      <w:marRight w:val="0"/>
      <w:marTop w:val="0"/>
      <w:marBottom w:val="0"/>
      <w:divBdr>
        <w:top w:val="none" w:sz="0" w:space="0" w:color="auto"/>
        <w:left w:val="none" w:sz="0" w:space="0" w:color="auto"/>
        <w:bottom w:val="none" w:sz="0" w:space="0" w:color="auto"/>
        <w:right w:val="none" w:sz="0" w:space="0" w:color="auto"/>
      </w:divBdr>
    </w:div>
    <w:div w:id="697393156">
      <w:bodyDiv w:val="1"/>
      <w:marLeft w:val="0"/>
      <w:marRight w:val="0"/>
      <w:marTop w:val="0"/>
      <w:marBottom w:val="0"/>
      <w:divBdr>
        <w:top w:val="none" w:sz="0" w:space="0" w:color="auto"/>
        <w:left w:val="none" w:sz="0" w:space="0" w:color="auto"/>
        <w:bottom w:val="none" w:sz="0" w:space="0" w:color="auto"/>
        <w:right w:val="none" w:sz="0" w:space="0" w:color="auto"/>
      </w:divBdr>
    </w:div>
    <w:div w:id="697896391">
      <w:bodyDiv w:val="1"/>
      <w:marLeft w:val="0"/>
      <w:marRight w:val="0"/>
      <w:marTop w:val="0"/>
      <w:marBottom w:val="0"/>
      <w:divBdr>
        <w:top w:val="none" w:sz="0" w:space="0" w:color="auto"/>
        <w:left w:val="none" w:sz="0" w:space="0" w:color="auto"/>
        <w:bottom w:val="none" w:sz="0" w:space="0" w:color="auto"/>
        <w:right w:val="none" w:sz="0" w:space="0" w:color="auto"/>
      </w:divBdr>
    </w:div>
    <w:div w:id="701517530">
      <w:bodyDiv w:val="1"/>
      <w:marLeft w:val="0"/>
      <w:marRight w:val="0"/>
      <w:marTop w:val="0"/>
      <w:marBottom w:val="0"/>
      <w:divBdr>
        <w:top w:val="none" w:sz="0" w:space="0" w:color="auto"/>
        <w:left w:val="none" w:sz="0" w:space="0" w:color="auto"/>
        <w:bottom w:val="none" w:sz="0" w:space="0" w:color="auto"/>
        <w:right w:val="none" w:sz="0" w:space="0" w:color="auto"/>
      </w:divBdr>
    </w:div>
    <w:div w:id="707993043">
      <w:bodyDiv w:val="1"/>
      <w:marLeft w:val="0"/>
      <w:marRight w:val="0"/>
      <w:marTop w:val="0"/>
      <w:marBottom w:val="0"/>
      <w:divBdr>
        <w:top w:val="none" w:sz="0" w:space="0" w:color="auto"/>
        <w:left w:val="none" w:sz="0" w:space="0" w:color="auto"/>
        <w:bottom w:val="none" w:sz="0" w:space="0" w:color="auto"/>
        <w:right w:val="none" w:sz="0" w:space="0" w:color="auto"/>
      </w:divBdr>
    </w:div>
    <w:div w:id="723523811">
      <w:bodyDiv w:val="1"/>
      <w:marLeft w:val="0"/>
      <w:marRight w:val="0"/>
      <w:marTop w:val="0"/>
      <w:marBottom w:val="0"/>
      <w:divBdr>
        <w:top w:val="none" w:sz="0" w:space="0" w:color="auto"/>
        <w:left w:val="none" w:sz="0" w:space="0" w:color="auto"/>
        <w:bottom w:val="none" w:sz="0" w:space="0" w:color="auto"/>
        <w:right w:val="none" w:sz="0" w:space="0" w:color="auto"/>
      </w:divBdr>
    </w:div>
    <w:div w:id="726417188">
      <w:bodyDiv w:val="1"/>
      <w:marLeft w:val="0"/>
      <w:marRight w:val="0"/>
      <w:marTop w:val="0"/>
      <w:marBottom w:val="0"/>
      <w:divBdr>
        <w:top w:val="none" w:sz="0" w:space="0" w:color="auto"/>
        <w:left w:val="none" w:sz="0" w:space="0" w:color="auto"/>
        <w:bottom w:val="none" w:sz="0" w:space="0" w:color="auto"/>
        <w:right w:val="none" w:sz="0" w:space="0" w:color="auto"/>
      </w:divBdr>
    </w:div>
    <w:div w:id="726806968">
      <w:bodyDiv w:val="1"/>
      <w:marLeft w:val="0"/>
      <w:marRight w:val="0"/>
      <w:marTop w:val="0"/>
      <w:marBottom w:val="0"/>
      <w:divBdr>
        <w:top w:val="none" w:sz="0" w:space="0" w:color="auto"/>
        <w:left w:val="none" w:sz="0" w:space="0" w:color="auto"/>
        <w:bottom w:val="none" w:sz="0" w:space="0" w:color="auto"/>
        <w:right w:val="none" w:sz="0" w:space="0" w:color="auto"/>
      </w:divBdr>
    </w:div>
    <w:div w:id="731083570">
      <w:bodyDiv w:val="1"/>
      <w:marLeft w:val="0"/>
      <w:marRight w:val="0"/>
      <w:marTop w:val="0"/>
      <w:marBottom w:val="0"/>
      <w:divBdr>
        <w:top w:val="none" w:sz="0" w:space="0" w:color="auto"/>
        <w:left w:val="none" w:sz="0" w:space="0" w:color="auto"/>
        <w:bottom w:val="none" w:sz="0" w:space="0" w:color="auto"/>
        <w:right w:val="none" w:sz="0" w:space="0" w:color="auto"/>
      </w:divBdr>
    </w:div>
    <w:div w:id="736512586">
      <w:bodyDiv w:val="1"/>
      <w:marLeft w:val="0"/>
      <w:marRight w:val="0"/>
      <w:marTop w:val="0"/>
      <w:marBottom w:val="0"/>
      <w:divBdr>
        <w:top w:val="none" w:sz="0" w:space="0" w:color="auto"/>
        <w:left w:val="none" w:sz="0" w:space="0" w:color="auto"/>
        <w:bottom w:val="none" w:sz="0" w:space="0" w:color="auto"/>
        <w:right w:val="none" w:sz="0" w:space="0" w:color="auto"/>
      </w:divBdr>
    </w:div>
    <w:div w:id="740255218">
      <w:bodyDiv w:val="1"/>
      <w:marLeft w:val="0"/>
      <w:marRight w:val="0"/>
      <w:marTop w:val="0"/>
      <w:marBottom w:val="0"/>
      <w:divBdr>
        <w:top w:val="none" w:sz="0" w:space="0" w:color="auto"/>
        <w:left w:val="none" w:sz="0" w:space="0" w:color="auto"/>
        <w:bottom w:val="none" w:sz="0" w:space="0" w:color="auto"/>
        <w:right w:val="none" w:sz="0" w:space="0" w:color="auto"/>
      </w:divBdr>
    </w:div>
    <w:div w:id="741413755">
      <w:bodyDiv w:val="1"/>
      <w:marLeft w:val="0"/>
      <w:marRight w:val="0"/>
      <w:marTop w:val="0"/>
      <w:marBottom w:val="0"/>
      <w:divBdr>
        <w:top w:val="none" w:sz="0" w:space="0" w:color="auto"/>
        <w:left w:val="none" w:sz="0" w:space="0" w:color="auto"/>
        <w:bottom w:val="none" w:sz="0" w:space="0" w:color="auto"/>
        <w:right w:val="none" w:sz="0" w:space="0" w:color="auto"/>
      </w:divBdr>
    </w:div>
    <w:div w:id="747920251">
      <w:bodyDiv w:val="1"/>
      <w:marLeft w:val="0"/>
      <w:marRight w:val="0"/>
      <w:marTop w:val="0"/>
      <w:marBottom w:val="0"/>
      <w:divBdr>
        <w:top w:val="none" w:sz="0" w:space="0" w:color="auto"/>
        <w:left w:val="none" w:sz="0" w:space="0" w:color="auto"/>
        <w:bottom w:val="none" w:sz="0" w:space="0" w:color="auto"/>
        <w:right w:val="none" w:sz="0" w:space="0" w:color="auto"/>
      </w:divBdr>
    </w:div>
    <w:div w:id="759374400">
      <w:bodyDiv w:val="1"/>
      <w:marLeft w:val="0"/>
      <w:marRight w:val="0"/>
      <w:marTop w:val="0"/>
      <w:marBottom w:val="0"/>
      <w:divBdr>
        <w:top w:val="none" w:sz="0" w:space="0" w:color="auto"/>
        <w:left w:val="none" w:sz="0" w:space="0" w:color="auto"/>
        <w:bottom w:val="none" w:sz="0" w:space="0" w:color="auto"/>
        <w:right w:val="none" w:sz="0" w:space="0" w:color="auto"/>
      </w:divBdr>
    </w:div>
    <w:div w:id="759764858">
      <w:bodyDiv w:val="1"/>
      <w:marLeft w:val="0"/>
      <w:marRight w:val="0"/>
      <w:marTop w:val="0"/>
      <w:marBottom w:val="0"/>
      <w:divBdr>
        <w:top w:val="none" w:sz="0" w:space="0" w:color="auto"/>
        <w:left w:val="none" w:sz="0" w:space="0" w:color="auto"/>
        <w:bottom w:val="none" w:sz="0" w:space="0" w:color="auto"/>
        <w:right w:val="none" w:sz="0" w:space="0" w:color="auto"/>
      </w:divBdr>
    </w:div>
    <w:div w:id="766653756">
      <w:bodyDiv w:val="1"/>
      <w:marLeft w:val="0"/>
      <w:marRight w:val="0"/>
      <w:marTop w:val="0"/>
      <w:marBottom w:val="0"/>
      <w:divBdr>
        <w:top w:val="none" w:sz="0" w:space="0" w:color="auto"/>
        <w:left w:val="none" w:sz="0" w:space="0" w:color="auto"/>
        <w:bottom w:val="none" w:sz="0" w:space="0" w:color="auto"/>
        <w:right w:val="none" w:sz="0" w:space="0" w:color="auto"/>
      </w:divBdr>
    </w:div>
    <w:div w:id="787314193">
      <w:bodyDiv w:val="1"/>
      <w:marLeft w:val="0"/>
      <w:marRight w:val="0"/>
      <w:marTop w:val="0"/>
      <w:marBottom w:val="0"/>
      <w:divBdr>
        <w:top w:val="none" w:sz="0" w:space="0" w:color="auto"/>
        <w:left w:val="none" w:sz="0" w:space="0" w:color="auto"/>
        <w:bottom w:val="none" w:sz="0" w:space="0" w:color="auto"/>
        <w:right w:val="none" w:sz="0" w:space="0" w:color="auto"/>
      </w:divBdr>
    </w:div>
    <w:div w:id="790443116">
      <w:bodyDiv w:val="1"/>
      <w:marLeft w:val="0"/>
      <w:marRight w:val="0"/>
      <w:marTop w:val="0"/>
      <w:marBottom w:val="0"/>
      <w:divBdr>
        <w:top w:val="none" w:sz="0" w:space="0" w:color="auto"/>
        <w:left w:val="none" w:sz="0" w:space="0" w:color="auto"/>
        <w:bottom w:val="none" w:sz="0" w:space="0" w:color="auto"/>
        <w:right w:val="none" w:sz="0" w:space="0" w:color="auto"/>
      </w:divBdr>
    </w:div>
    <w:div w:id="804616061">
      <w:bodyDiv w:val="1"/>
      <w:marLeft w:val="0"/>
      <w:marRight w:val="0"/>
      <w:marTop w:val="0"/>
      <w:marBottom w:val="0"/>
      <w:divBdr>
        <w:top w:val="none" w:sz="0" w:space="0" w:color="auto"/>
        <w:left w:val="none" w:sz="0" w:space="0" w:color="auto"/>
        <w:bottom w:val="none" w:sz="0" w:space="0" w:color="auto"/>
        <w:right w:val="none" w:sz="0" w:space="0" w:color="auto"/>
      </w:divBdr>
    </w:div>
    <w:div w:id="804854903">
      <w:bodyDiv w:val="1"/>
      <w:marLeft w:val="0"/>
      <w:marRight w:val="0"/>
      <w:marTop w:val="0"/>
      <w:marBottom w:val="0"/>
      <w:divBdr>
        <w:top w:val="none" w:sz="0" w:space="0" w:color="auto"/>
        <w:left w:val="none" w:sz="0" w:space="0" w:color="auto"/>
        <w:bottom w:val="none" w:sz="0" w:space="0" w:color="auto"/>
        <w:right w:val="none" w:sz="0" w:space="0" w:color="auto"/>
      </w:divBdr>
    </w:div>
    <w:div w:id="814571233">
      <w:bodyDiv w:val="1"/>
      <w:marLeft w:val="0"/>
      <w:marRight w:val="0"/>
      <w:marTop w:val="0"/>
      <w:marBottom w:val="0"/>
      <w:divBdr>
        <w:top w:val="none" w:sz="0" w:space="0" w:color="auto"/>
        <w:left w:val="none" w:sz="0" w:space="0" w:color="auto"/>
        <w:bottom w:val="none" w:sz="0" w:space="0" w:color="auto"/>
        <w:right w:val="none" w:sz="0" w:space="0" w:color="auto"/>
      </w:divBdr>
    </w:div>
    <w:div w:id="816608728">
      <w:bodyDiv w:val="1"/>
      <w:marLeft w:val="0"/>
      <w:marRight w:val="0"/>
      <w:marTop w:val="0"/>
      <w:marBottom w:val="0"/>
      <w:divBdr>
        <w:top w:val="none" w:sz="0" w:space="0" w:color="auto"/>
        <w:left w:val="none" w:sz="0" w:space="0" w:color="auto"/>
        <w:bottom w:val="none" w:sz="0" w:space="0" w:color="auto"/>
        <w:right w:val="none" w:sz="0" w:space="0" w:color="auto"/>
      </w:divBdr>
    </w:div>
    <w:div w:id="831337499">
      <w:bodyDiv w:val="1"/>
      <w:marLeft w:val="0"/>
      <w:marRight w:val="0"/>
      <w:marTop w:val="0"/>
      <w:marBottom w:val="0"/>
      <w:divBdr>
        <w:top w:val="none" w:sz="0" w:space="0" w:color="auto"/>
        <w:left w:val="none" w:sz="0" w:space="0" w:color="auto"/>
        <w:bottom w:val="none" w:sz="0" w:space="0" w:color="auto"/>
        <w:right w:val="none" w:sz="0" w:space="0" w:color="auto"/>
      </w:divBdr>
    </w:div>
    <w:div w:id="838353723">
      <w:bodyDiv w:val="1"/>
      <w:marLeft w:val="0"/>
      <w:marRight w:val="0"/>
      <w:marTop w:val="0"/>
      <w:marBottom w:val="0"/>
      <w:divBdr>
        <w:top w:val="none" w:sz="0" w:space="0" w:color="auto"/>
        <w:left w:val="none" w:sz="0" w:space="0" w:color="auto"/>
        <w:bottom w:val="none" w:sz="0" w:space="0" w:color="auto"/>
        <w:right w:val="none" w:sz="0" w:space="0" w:color="auto"/>
      </w:divBdr>
    </w:div>
    <w:div w:id="842664019">
      <w:bodyDiv w:val="1"/>
      <w:marLeft w:val="0"/>
      <w:marRight w:val="0"/>
      <w:marTop w:val="0"/>
      <w:marBottom w:val="0"/>
      <w:divBdr>
        <w:top w:val="none" w:sz="0" w:space="0" w:color="auto"/>
        <w:left w:val="none" w:sz="0" w:space="0" w:color="auto"/>
        <w:bottom w:val="none" w:sz="0" w:space="0" w:color="auto"/>
        <w:right w:val="none" w:sz="0" w:space="0" w:color="auto"/>
      </w:divBdr>
    </w:div>
    <w:div w:id="843279863">
      <w:bodyDiv w:val="1"/>
      <w:marLeft w:val="0"/>
      <w:marRight w:val="0"/>
      <w:marTop w:val="0"/>
      <w:marBottom w:val="0"/>
      <w:divBdr>
        <w:top w:val="none" w:sz="0" w:space="0" w:color="auto"/>
        <w:left w:val="none" w:sz="0" w:space="0" w:color="auto"/>
        <w:bottom w:val="none" w:sz="0" w:space="0" w:color="auto"/>
        <w:right w:val="none" w:sz="0" w:space="0" w:color="auto"/>
      </w:divBdr>
    </w:div>
    <w:div w:id="859048008">
      <w:bodyDiv w:val="1"/>
      <w:marLeft w:val="0"/>
      <w:marRight w:val="0"/>
      <w:marTop w:val="0"/>
      <w:marBottom w:val="0"/>
      <w:divBdr>
        <w:top w:val="none" w:sz="0" w:space="0" w:color="auto"/>
        <w:left w:val="none" w:sz="0" w:space="0" w:color="auto"/>
        <w:bottom w:val="none" w:sz="0" w:space="0" w:color="auto"/>
        <w:right w:val="none" w:sz="0" w:space="0" w:color="auto"/>
      </w:divBdr>
    </w:div>
    <w:div w:id="861284480">
      <w:bodyDiv w:val="1"/>
      <w:marLeft w:val="0"/>
      <w:marRight w:val="0"/>
      <w:marTop w:val="0"/>
      <w:marBottom w:val="0"/>
      <w:divBdr>
        <w:top w:val="none" w:sz="0" w:space="0" w:color="auto"/>
        <w:left w:val="none" w:sz="0" w:space="0" w:color="auto"/>
        <w:bottom w:val="none" w:sz="0" w:space="0" w:color="auto"/>
        <w:right w:val="none" w:sz="0" w:space="0" w:color="auto"/>
      </w:divBdr>
    </w:div>
    <w:div w:id="864294484">
      <w:bodyDiv w:val="1"/>
      <w:marLeft w:val="0"/>
      <w:marRight w:val="0"/>
      <w:marTop w:val="0"/>
      <w:marBottom w:val="0"/>
      <w:divBdr>
        <w:top w:val="none" w:sz="0" w:space="0" w:color="auto"/>
        <w:left w:val="none" w:sz="0" w:space="0" w:color="auto"/>
        <w:bottom w:val="none" w:sz="0" w:space="0" w:color="auto"/>
        <w:right w:val="none" w:sz="0" w:space="0" w:color="auto"/>
      </w:divBdr>
    </w:div>
    <w:div w:id="879971338">
      <w:bodyDiv w:val="1"/>
      <w:marLeft w:val="0"/>
      <w:marRight w:val="0"/>
      <w:marTop w:val="0"/>
      <w:marBottom w:val="0"/>
      <w:divBdr>
        <w:top w:val="none" w:sz="0" w:space="0" w:color="auto"/>
        <w:left w:val="none" w:sz="0" w:space="0" w:color="auto"/>
        <w:bottom w:val="none" w:sz="0" w:space="0" w:color="auto"/>
        <w:right w:val="none" w:sz="0" w:space="0" w:color="auto"/>
      </w:divBdr>
    </w:div>
    <w:div w:id="893153613">
      <w:bodyDiv w:val="1"/>
      <w:marLeft w:val="0"/>
      <w:marRight w:val="0"/>
      <w:marTop w:val="0"/>
      <w:marBottom w:val="0"/>
      <w:divBdr>
        <w:top w:val="none" w:sz="0" w:space="0" w:color="auto"/>
        <w:left w:val="none" w:sz="0" w:space="0" w:color="auto"/>
        <w:bottom w:val="none" w:sz="0" w:space="0" w:color="auto"/>
        <w:right w:val="none" w:sz="0" w:space="0" w:color="auto"/>
      </w:divBdr>
    </w:div>
    <w:div w:id="900555781">
      <w:bodyDiv w:val="1"/>
      <w:marLeft w:val="0"/>
      <w:marRight w:val="0"/>
      <w:marTop w:val="0"/>
      <w:marBottom w:val="0"/>
      <w:divBdr>
        <w:top w:val="none" w:sz="0" w:space="0" w:color="auto"/>
        <w:left w:val="none" w:sz="0" w:space="0" w:color="auto"/>
        <w:bottom w:val="none" w:sz="0" w:space="0" w:color="auto"/>
        <w:right w:val="none" w:sz="0" w:space="0" w:color="auto"/>
      </w:divBdr>
    </w:div>
    <w:div w:id="901526367">
      <w:bodyDiv w:val="1"/>
      <w:marLeft w:val="0"/>
      <w:marRight w:val="0"/>
      <w:marTop w:val="0"/>
      <w:marBottom w:val="0"/>
      <w:divBdr>
        <w:top w:val="none" w:sz="0" w:space="0" w:color="auto"/>
        <w:left w:val="none" w:sz="0" w:space="0" w:color="auto"/>
        <w:bottom w:val="none" w:sz="0" w:space="0" w:color="auto"/>
        <w:right w:val="none" w:sz="0" w:space="0" w:color="auto"/>
      </w:divBdr>
    </w:div>
    <w:div w:id="914510051">
      <w:bodyDiv w:val="1"/>
      <w:marLeft w:val="0"/>
      <w:marRight w:val="0"/>
      <w:marTop w:val="0"/>
      <w:marBottom w:val="0"/>
      <w:divBdr>
        <w:top w:val="none" w:sz="0" w:space="0" w:color="auto"/>
        <w:left w:val="none" w:sz="0" w:space="0" w:color="auto"/>
        <w:bottom w:val="none" w:sz="0" w:space="0" w:color="auto"/>
        <w:right w:val="none" w:sz="0" w:space="0" w:color="auto"/>
      </w:divBdr>
    </w:div>
    <w:div w:id="928654337">
      <w:bodyDiv w:val="1"/>
      <w:marLeft w:val="0"/>
      <w:marRight w:val="0"/>
      <w:marTop w:val="0"/>
      <w:marBottom w:val="0"/>
      <w:divBdr>
        <w:top w:val="none" w:sz="0" w:space="0" w:color="auto"/>
        <w:left w:val="none" w:sz="0" w:space="0" w:color="auto"/>
        <w:bottom w:val="none" w:sz="0" w:space="0" w:color="auto"/>
        <w:right w:val="none" w:sz="0" w:space="0" w:color="auto"/>
      </w:divBdr>
    </w:div>
    <w:div w:id="929582089">
      <w:bodyDiv w:val="1"/>
      <w:marLeft w:val="0"/>
      <w:marRight w:val="0"/>
      <w:marTop w:val="0"/>
      <w:marBottom w:val="0"/>
      <w:divBdr>
        <w:top w:val="none" w:sz="0" w:space="0" w:color="auto"/>
        <w:left w:val="none" w:sz="0" w:space="0" w:color="auto"/>
        <w:bottom w:val="none" w:sz="0" w:space="0" w:color="auto"/>
        <w:right w:val="none" w:sz="0" w:space="0" w:color="auto"/>
      </w:divBdr>
    </w:div>
    <w:div w:id="958029795">
      <w:bodyDiv w:val="1"/>
      <w:marLeft w:val="0"/>
      <w:marRight w:val="0"/>
      <w:marTop w:val="0"/>
      <w:marBottom w:val="0"/>
      <w:divBdr>
        <w:top w:val="none" w:sz="0" w:space="0" w:color="auto"/>
        <w:left w:val="none" w:sz="0" w:space="0" w:color="auto"/>
        <w:bottom w:val="none" w:sz="0" w:space="0" w:color="auto"/>
        <w:right w:val="none" w:sz="0" w:space="0" w:color="auto"/>
      </w:divBdr>
    </w:div>
    <w:div w:id="965818776">
      <w:bodyDiv w:val="1"/>
      <w:marLeft w:val="0"/>
      <w:marRight w:val="0"/>
      <w:marTop w:val="0"/>
      <w:marBottom w:val="0"/>
      <w:divBdr>
        <w:top w:val="none" w:sz="0" w:space="0" w:color="auto"/>
        <w:left w:val="none" w:sz="0" w:space="0" w:color="auto"/>
        <w:bottom w:val="none" w:sz="0" w:space="0" w:color="auto"/>
        <w:right w:val="none" w:sz="0" w:space="0" w:color="auto"/>
      </w:divBdr>
    </w:div>
    <w:div w:id="966203962">
      <w:bodyDiv w:val="1"/>
      <w:marLeft w:val="0"/>
      <w:marRight w:val="0"/>
      <w:marTop w:val="0"/>
      <w:marBottom w:val="0"/>
      <w:divBdr>
        <w:top w:val="none" w:sz="0" w:space="0" w:color="auto"/>
        <w:left w:val="none" w:sz="0" w:space="0" w:color="auto"/>
        <w:bottom w:val="none" w:sz="0" w:space="0" w:color="auto"/>
        <w:right w:val="none" w:sz="0" w:space="0" w:color="auto"/>
      </w:divBdr>
    </w:div>
    <w:div w:id="971978364">
      <w:bodyDiv w:val="1"/>
      <w:marLeft w:val="0"/>
      <w:marRight w:val="0"/>
      <w:marTop w:val="0"/>
      <w:marBottom w:val="0"/>
      <w:divBdr>
        <w:top w:val="none" w:sz="0" w:space="0" w:color="auto"/>
        <w:left w:val="none" w:sz="0" w:space="0" w:color="auto"/>
        <w:bottom w:val="none" w:sz="0" w:space="0" w:color="auto"/>
        <w:right w:val="none" w:sz="0" w:space="0" w:color="auto"/>
      </w:divBdr>
    </w:div>
    <w:div w:id="987199703">
      <w:bodyDiv w:val="1"/>
      <w:marLeft w:val="0"/>
      <w:marRight w:val="0"/>
      <w:marTop w:val="0"/>
      <w:marBottom w:val="0"/>
      <w:divBdr>
        <w:top w:val="none" w:sz="0" w:space="0" w:color="auto"/>
        <w:left w:val="none" w:sz="0" w:space="0" w:color="auto"/>
        <w:bottom w:val="none" w:sz="0" w:space="0" w:color="auto"/>
        <w:right w:val="none" w:sz="0" w:space="0" w:color="auto"/>
      </w:divBdr>
    </w:div>
    <w:div w:id="988944990">
      <w:bodyDiv w:val="1"/>
      <w:marLeft w:val="0"/>
      <w:marRight w:val="0"/>
      <w:marTop w:val="0"/>
      <w:marBottom w:val="0"/>
      <w:divBdr>
        <w:top w:val="none" w:sz="0" w:space="0" w:color="auto"/>
        <w:left w:val="none" w:sz="0" w:space="0" w:color="auto"/>
        <w:bottom w:val="none" w:sz="0" w:space="0" w:color="auto"/>
        <w:right w:val="none" w:sz="0" w:space="0" w:color="auto"/>
      </w:divBdr>
    </w:div>
    <w:div w:id="994455540">
      <w:bodyDiv w:val="1"/>
      <w:marLeft w:val="0"/>
      <w:marRight w:val="0"/>
      <w:marTop w:val="0"/>
      <w:marBottom w:val="0"/>
      <w:divBdr>
        <w:top w:val="none" w:sz="0" w:space="0" w:color="auto"/>
        <w:left w:val="none" w:sz="0" w:space="0" w:color="auto"/>
        <w:bottom w:val="none" w:sz="0" w:space="0" w:color="auto"/>
        <w:right w:val="none" w:sz="0" w:space="0" w:color="auto"/>
      </w:divBdr>
    </w:div>
    <w:div w:id="1006054661">
      <w:bodyDiv w:val="1"/>
      <w:marLeft w:val="0"/>
      <w:marRight w:val="0"/>
      <w:marTop w:val="0"/>
      <w:marBottom w:val="0"/>
      <w:divBdr>
        <w:top w:val="none" w:sz="0" w:space="0" w:color="auto"/>
        <w:left w:val="none" w:sz="0" w:space="0" w:color="auto"/>
        <w:bottom w:val="none" w:sz="0" w:space="0" w:color="auto"/>
        <w:right w:val="none" w:sz="0" w:space="0" w:color="auto"/>
      </w:divBdr>
    </w:div>
    <w:div w:id="1017851478">
      <w:bodyDiv w:val="1"/>
      <w:marLeft w:val="0"/>
      <w:marRight w:val="0"/>
      <w:marTop w:val="0"/>
      <w:marBottom w:val="0"/>
      <w:divBdr>
        <w:top w:val="none" w:sz="0" w:space="0" w:color="auto"/>
        <w:left w:val="none" w:sz="0" w:space="0" w:color="auto"/>
        <w:bottom w:val="none" w:sz="0" w:space="0" w:color="auto"/>
        <w:right w:val="none" w:sz="0" w:space="0" w:color="auto"/>
      </w:divBdr>
    </w:div>
    <w:div w:id="1023744085">
      <w:bodyDiv w:val="1"/>
      <w:marLeft w:val="0"/>
      <w:marRight w:val="0"/>
      <w:marTop w:val="0"/>
      <w:marBottom w:val="0"/>
      <w:divBdr>
        <w:top w:val="none" w:sz="0" w:space="0" w:color="auto"/>
        <w:left w:val="none" w:sz="0" w:space="0" w:color="auto"/>
        <w:bottom w:val="none" w:sz="0" w:space="0" w:color="auto"/>
        <w:right w:val="none" w:sz="0" w:space="0" w:color="auto"/>
      </w:divBdr>
    </w:div>
    <w:div w:id="1034385069">
      <w:bodyDiv w:val="1"/>
      <w:marLeft w:val="0"/>
      <w:marRight w:val="0"/>
      <w:marTop w:val="0"/>
      <w:marBottom w:val="0"/>
      <w:divBdr>
        <w:top w:val="none" w:sz="0" w:space="0" w:color="auto"/>
        <w:left w:val="none" w:sz="0" w:space="0" w:color="auto"/>
        <w:bottom w:val="none" w:sz="0" w:space="0" w:color="auto"/>
        <w:right w:val="none" w:sz="0" w:space="0" w:color="auto"/>
      </w:divBdr>
    </w:div>
    <w:div w:id="1049568287">
      <w:bodyDiv w:val="1"/>
      <w:marLeft w:val="0"/>
      <w:marRight w:val="0"/>
      <w:marTop w:val="0"/>
      <w:marBottom w:val="0"/>
      <w:divBdr>
        <w:top w:val="none" w:sz="0" w:space="0" w:color="auto"/>
        <w:left w:val="none" w:sz="0" w:space="0" w:color="auto"/>
        <w:bottom w:val="none" w:sz="0" w:space="0" w:color="auto"/>
        <w:right w:val="none" w:sz="0" w:space="0" w:color="auto"/>
      </w:divBdr>
    </w:div>
    <w:div w:id="1050963052">
      <w:bodyDiv w:val="1"/>
      <w:marLeft w:val="0"/>
      <w:marRight w:val="0"/>
      <w:marTop w:val="0"/>
      <w:marBottom w:val="0"/>
      <w:divBdr>
        <w:top w:val="none" w:sz="0" w:space="0" w:color="auto"/>
        <w:left w:val="none" w:sz="0" w:space="0" w:color="auto"/>
        <w:bottom w:val="none" w:sz="0" w:space="0" w:color="auto"/>
        <w:right w:val="none" w:sz="0" w:space="0" w:color="auto"/>
      </w:divBdr>
      <w:divsChild>
        <w:div w:id="589854616">
          <w:marLeft w:val="0"/>
          <w:marRight w:val="150"/>
          <w:marTop w:val="0"/>
          <w:marBottom w:val="0"/>
          <w:divBdr>
            <w:top w:val="none" w:sz="0" w:space="0" w:color="auto"/>
            <w:left w:val="none" w:sz="0" w:space="0" w:color="auto"/>
            <w:bottom w:val="none" w:sz="0" w:space="0" w:color="auto"/>
            <w:right w:val="none" w:sz="0" w:space="0" w:color="auto"/>
          </w:divBdr>
        </w:div>
        <w:div w:id="1085760617">
          <w:marLeft w:val="600"/>
          <w:marRight w:val="225"/>
          <w:marTop w:val="225"/>
          <w:marBottom w:val="225"/>
          <w:divBdr>
            <w:top w:val="none" w:sz="0" w:space="0" w:color="auto"/>
            <w:left w:val="none" w:sz="0" w:space="0" w:color="auto"/>
            <w:bottom w:val="none" w:sz="0" w:space="0" w:color="auto"/>
            <w:right w:val="none" w:sz="0" w:space="0" w:color="auto"/>
          </w:divBdr>
        </w:div>
      </w:divsChild>
    </w:div>
    <w:div w:id="1066031744">
      <w:bodyDiv w:val="1"/>
      <w:marLeft w:val="0"/>
      <w:marRight w:val="0"/>
      <w:marTop w:val="0"/>
      <w:marBottom w:val="0"/>
      <w:divBdr>
        <w:top w:val="none" w:sz="0" w:space="0" w:color="auto"/>
        <w:left w:val="none" w:sz="0" w:space="0" w:color="auto"/>
        <w:bottom w:val="none" w:sz="0" w:space="0" w:color="auto"/>
        <w:right w:val="none" w:sz="0" w:space="0" w:color="auto"/>
      </w:divBdr>
    </w:div>
    <w:div w:id="1068377622">
      <w:bodyDiv w:val="1"/>
      <w:marLeft w:val="0"/>
      <w:marRight w:val="0"/>
      <w:marTop w:val="0"/>
      <w:marBottom w:val="0"/>
      <w:divBdr>
        <w:top w:val="none" w:sz="0" w:space="0" w:color="auto"/>
        <w:left w:val="none" w:sz="0" w:space="0" w:color="auto"/>
        <w:bottom w:val="none" w:sz="0" w:space="0" w:color="auto"/>
        <w:right w:val="none" w:sz="0" w:space="0" w:color="auto"/>
      </w:divBdr>
    </w:div>
    <w:div w:id="1076514062">
      <w:bodyDiv w:val="1"/>
      <w:marLeft w:val="0"/>
      <w:marRight w:val="0"/>
      <w:marTop w:val="0"/>
      <w:marBottom w:val="0"/>
      <w:divBdr>
        <w:top w:val="none" w:sz="0" w:space="0" w:color="auto"/>
        <w:left w:val="none" w:sz="0" w:space="0" w:color="auto"/>
        <w:bottom w:val="none" w:sz="0" w:space="0" w:color="auto"/>
        <w:right w:val="none" w:sz="0" w:space="0" w:color="auto"/>
      </w:divBdr>
    </w:div>
    <w:div w:id="1085151735">
      <w:bodyDiv w:val="1"/>
      <w:marLeft w:val="0"/>
      <w:marRight w:val="0"/>
      <w:marTop w:val="0"/>
      <w:marBottom w:val="0"/>
      <w:divBdr>
        <w:top w:val="none" w:sz="0" w:space="0" w:color="auto"/>
        <w:left w:val="none" w:sz="0" w:space="0" w:color="auto"/>
        <w:bottom w:val="none" w:sz="0" w:space="0" w:color="auto"/>
        <w:right w:val="none" w:sz="0" w:space="0" w:color="auto"/>
      </w:divBdr>
    </w:div>
    <w:div w:id="1087995058">
      <w:bodyDiv w:val="1"/>
      <w:marLeft w:val="0"/>
      <w:marRight w:val="0"/>
      <w:marTop w:val="0"/>
      <w:marBottom w:val="0"/>
      <w:divBdr>
        <w:top w:val="none" w:sz="0" w:space="0" w:color="auto"/>
        <w:left w:val="none" w:sz="0" w:space="0" w:color="auto"/>
        <w:bottom w:val="none" w:sz="0" w:space="0" w:color="auto"/>
        <w:right w:val="none" w:sz="0" w:space="0" w:color="auto"/>
      </w:divBdr>
    </w:div>
    <w:div w:id="1088236214">
      <w:bodyDiv w:val="1"/>
      <w:marLeft w:val="0"/>
      <w:marRight w:val="0"/>
      <w:marTop w:val="0"/>
      <w:marBottom w:val="0"/>
      <w:divBdr>
        <w:top w:val="none" w:sz="0" w:space="0" w:color="auto"/>
        <w:left w:val="none" w:sz="0" w:space="0" w:color="auto"/>
        <w:bottom w:val="none" w:sz="0" w:space="0" w:color="auto"/>
        <w:right w:val="none" w:sz="0" w:space="0" w:color="auto"/>
      </w:divBdr>
    </w:div>
    <w:div w:id="1122501133">
      <w:bodyDiv w:val="1"/>
      <w:marLeft w:val="0"/>
      <w:marRight w:val="0"/>
      <w:marTop w:val="0"/>
      <w:marBottom w:val="0"/>
      <w:divBdr>
        <w:top w:val="none" w:sz="0" w:space="0" w:color="auto"/>
        <w:left w:val="none" w:sz="0" w:space="0" w:color="auto"/>
        <w:bottom w:val="none" w:sz="0" w:space="0" w:color="auto"/>
        <w:right w:val="none" w:sz="0" w:space="0" w:color="auto"/>
      </w:divBdr>
    </w:div>
    <w:div w:id="1128008218">
      <w:bodyDiv w:val="1"/>
      <w:marLeft w:val="0"/>
      <w:marRight w:val="0"/>
      <w:marTop w:val="0"/>
      <w:marBottom w:val="0"/>
      <w:divBdr>
        <w:top w:val="none" w:sz="0" w:space="0" w:color="auto"/>
        <w:left w:val="none" w:sz="0" w:space="0" w:color="auto"/>
        <w:bottom w:val="none" w:sz="0" w:space="0" w:color="auto"/>
        <w:right w:val="none" w:sz="0" w:space="0" w:color="auto"/>
      </w:divBdr>
    </w:div>
    <w:div w:id="1140808869">
      <w:bodyDiv w:val="1"/>
      <w:marLeft w:val="0"/>
      <w:marRight w:val="0"/>
      <w:marTop w:val="0"/>
      <w:marBottom w:val="0"/>
      <w:divBdr>
        <w:top w:val="none" w:sz="0" w:space="0" w:color="auto"/>
        <w:left w:val="none" w:sz="0" w:space="0" w:color="auto"/>
        <w:bottom w:val="none" w:sz="0" w:space="0" w:color="auto"/>
        <w:right w:val="none" w:sz="0" w:space="0" w:color="auto"/>
      </w:divBdr>
    </w:div>
    <w:div w:id="1142963667">
      <w:bodyDiv w:val="1"/>
      <w:marLeft w:val="0"/>
      <w:marRight w:val="0"/>
      <w:marTop w:val="0"/>
      <w:marBottom w:val="0"/>
      <w:divBdr>
        <w:top w:val="none" w:sz="0" w:space="0" w:color="auto"/>
        <w:left w:val="none" w:sz="0" w:space="0" w:color="auto"/>
        <w:bottom w:val="none" w:sz="0" w:space="0" w:color="auto"/>
        <w:right w:val="none" w:sz="0" w:space="0" w:color="auto"/>
      </w:divBdr>
    </w:div>
    <w:div w:id="1146822573">
      <w:bodyDiv w:val="1"/>
      <w:marLeft w:val="0"/>
      <w:marRight w:val="0"/>
      <w:marTop w:val="0"/>
      <w:marBottom w:val="0"/>
      <w:divBdr>
        <w:top w:val="none" w:sz="0" w:space="0" w:color="auto"/>
        <w:left w:val="none" w:sz="0" w:space="0" w:color="auto"/>
        <w:bottom w:val="none" w:sz="0" w:space="0" w:color="auto"/>
        <w:right w:val="none" w:sz="0" w:space="0" w:color="auto"/>
      </w:divBdr>
    </w:div>
    <w:div w:id="1149593327">
      <w:bodyDiv w:val="1"/>
      <w:marLeft w:val="0"/>
      <w:marRight w:val="0"/>
      <w:marTop w:val="0"/>
      <w:marBottom w:val="0"/>
      <w:divBdr>
        <w:top w:val="none" w:sz="0" w:space="0" w:color="auto"/>
        <w:left w:val="none" w:sz="0" w:space="0" w:color="auto"/>
        <w:bottom w:val="none" w:sz="0" w:space="0" w:color="auto"/>
        <w:right w:val="none" w:sz="0" w:space="0" w:color="auto"/>
      </w:divBdr>
      <w:divsChild>
        <w:div w:id="115575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786634">
      <w:bodyDiv w:val="1"/>
      <w:marLeft w:val="0"/>
      <w:marRight w:val="0"/>
      <w:marTop w:val="0"/>
      <w:marBottom w:val="0"/>
      <w:divBdr>
        <w:top w:val="none" w:sz="0" w:space="0" w:color="auto"/>
        <w:left w:val="none" w:sz="0" w:space="0" w:color="auto"/>
        <w:bottom w:val="none" w:sz="0" w:space="0" w:color="auto"/>
        <w:right w:val="none" w:sz="0" w:space="0" w:color="auto"/>
      </w:divBdr>
    </w:div>
    <w:div w:id="1160121471">
      <w:bodyDiv w:val="1"/>
      <w:marLeft w:val="0"/>
      <w:marRight w:val="0"/>
      <w:marTop w:val="0"/>
      <w:marBottom w:val="0"/>
      <w:divBdr>
        <w:top w:val="none" w:sz="0" w:space="0" w:color="auto"/>
        <w:left w:val="none" w:sz="0" w:space="0" w:color="auto"/>
        <w:bottom w:val="none" w:sz="0" w:space="0" w:color="auto"/>
        <w:right w:val="none" w:sz="0" w:space="0" w:color="auto"/>
      </w:divBdr>
    </w:div>
    <w:div w:id="1168979971">
      <w:bodyDiv w:val="1"/>
      <w:marLeft w:val="0"/>
      <w:marRight w:val="0"/>
      <w:marTop w:val="0"/>
      <w:marBottom w:val="0"/>
      <w:divBdr>
        <w:top w:val="none" w:sz="0" w:space="0" w:color="auto"/>
        <w:left w:val="none" w:sz="0" w:space="0" w:color="auto"/>
        <w:bottom w:val="none" w:sz="0" w:space="0" w:color="auto"/>
        <w:right w:val="none" w:sz="0" w:space="0" w:color="auto"/>
      </w:divBdr>
    </w:div>
    <w:div w:id="1173226856">
      <w:bodyDiv w:val="1"/>
      <w:marLeft w:val="0"/>
      <w:marRight w:val="0"/>
      <w:marTop w:val="0"/>
      <w:marBottom w:val="0"/>
      <w:divBdr>
        <w:top w:val="none" w:sz="0" w:space="0" w:color="auto"/>
        <w:left w:val="none" w:sz="0" w:space="0" w:color="auto"/>
        <w:bottom w:val="none" w:sz="0" w:space="0" w:color="auto"/>
        <w:right w:val="none" w:sz="0" w:space="0" w:color="auto"/>
      </w:divBdr>
    </w:div>
    <w:div w:id="1173911090">
      <w:bodyDiv w:val="1"/>
      <w:marLeft w:val="0"/>
      <w:marRight w:val="0"/>
      <w:marTop w:val="0"/>
      <w:marBottom w:val="0"/>
      <w:divBdr>
        <w:top w:val="none" w:sz="0" w:space="0" w:color="auto"/>
        <w:left w:val="none" w:sz="0" w:space="0" w:color="auto"/>
        <w:bottom w:val="none" w:sz="0" w:space="0" w:color="auto"/>
        <w:right w:val="none" w:sz="0" w:space="0" w:color="auto"/>
      </w:divBdr>
    </w:div>
    <w:div w:id="1180006092">
      <w:bodyDiv w:val="1"/>
      <w:marLeft w:val="0"/>
      <w:marRight w:val="0"/>
      <w:marTop w:val="0"/>
      <w:marBottom w:val="0"/>
      <w:divBdr>
        <w:top w:val="none" w:sz="0" w:space="0" w:color="auto"/>
        <w:left w:val="none" w:sz="0" w:space="0" w:color="auto"/>
        <w:bottom w:val="none" w:sz="0" w:space="0" w:color="auto"/>
        <w:right w:val="none" w:sz="0" w:space="0" w:color="auto"/>
      </w:divBdr>
    </w:div>
    <w:div w:id="1183786018">
      <w:bodyDiv w:val="1"/>
      <w:marLeft w:val="0"/>
      <w:marRight w:val="0"/>
      <w:marTop w:val="0"/>
      <w:marBottom w:val="0"/>
      <w:divBdr>
        <w:top w:val="none" w:sz="0" w:space="0" w:color="auto"/>
        <w:left w:val="none" w:sz="0" w:space="0" w:color="auto"/>
        <w:bottom w:val="none" w:sz="0" w:space="0" w:color="auto"/>
        <w:right w:val="none" w:sz="0" w:space="0" w:color="auto"/>
      </w:divBdr>
    </w:div>
    <w:div w:id="1187597289">
      <w:bodyDiv w:val="1"/>
      <w:marLeft w:val="0"/>
      <w:marRight w:val="0"/>
      <w:marTop w:val="0"/>
      <w:marBottom w:val="0"/>
      <w:divBdr>
        <w:top w:val="none" w:sz="0" w:space="0" w:color="auto"/>
        <w:left w:val="none" w:sz="0" w:space="0" w:color="auto"/>
        <w:bottom w:val="none" w:sz="0" w:space="0" w:color="auto"/>
        <w:right w:val="none" w:sz="0" w:space="0" w:color="auto"/>
      </w:divBdr>
    </w:div>
    <w:div w:id="1228765563">
      <w:bodyDiv w:val="1"/>
      <w:marLeft w:val="0"/>
      <w:marRight w:val="0"/>
      <w:marTop w:val="0"/>
      <w:marBottom w:val="0"/>
      <w:divBdr>
        <w:top w:val="none" w:sz="0" w:space="0" w:color="auto"/>
        <w:left w:val="none" w:sz="0" w:space="0" w:color="auto"/>
        <w:bottom w:val="none" w:sz="0" w:space="0" w:color="auto"/>
        <w:right w:val="none" w:sz="0" w:space="0" w:color="auto"/>
      </w:divBdr>
    </w:div>
    <w:div w:id="1229077975">
      <w:bodyDiv w:val="1"/>
      <w:marLeft w:val="0"/>
      <w:marRight w:val="0"/>
      <w:marTop w:val="0"/>
      <w:marBottom w:val="0"/>
      <w:divBdr>
        <w:top w:val="none" w:sz="0" w:space="0" w:color="auto"/>
        <w:left w:val="none" w:sz="0" w:space="0" w:color="auto"/>
        <w:bottom w:val="none" w:sz="0" w:space="0" w:color="auto"/>
        <w:right w:val="none" w:sz="0" w:space="0" w:color="auto"/>
      </w:divBdr>
    </w:div>
    <w:div w:id="1252202130">
      <w:bodyDiv w:val="1"/>
      <w:marLeft w:val="0"/>
      <w:marRight w:val="0"/>
      <w:marTop w:val="0"/>
      <w:marBottom w:val="0"/>
      <w:divBdr>
        <w:top w:val="none" w:sz="0" w:space="0" w:color="auto"/>
        <w:left w:val="none" w:sz="0" w:space="0" w:color="auto"/>
        <w:bottom w:val="none" w:sz="0" w:space="0" w:color="auto"/>
        <w:right w:val="none" w:sz="0" w:space="0" w:color="auto"/>
      </w:divBdr>
    </w:div>
    <w:div w:id="1275751541">
      <w:bodyDiv w:val="1"/>
      <w:marLeft w:val="0"/>
      <w:marRight w:val="0"/>
      <w:marTop w:val="0"/>
      <w:marBottom w:val="0"/>
      <w:divBdr>
        <w:top w:val="none" w:sz="0" w:space="0" w:color="auto"/>
        <w:left w:val="none" w:sz="0" w:space="0" w:color="auto"/>
        <w:bottom w:val="none" w:sz="0" w:space="0" w:color="auto"/>
        <w:right w:val="none" w:sz="0" w:space="0" w:color="auto"/>
      </w:divBdr>
    </w:div>
    <w:div w:id="1304851263">
      <w:bodyDiv w:val="1"/>
      <w:marLeft w:val="0"/>
      <w:marRight w:val="0"/>
      <w:marTop w:val="0"/>
      <w:marBottom w:val="0"/>
      <w:divBdr>
        <w:top w:val="none" w:sz="0" w:space="0" w:color="auto"/>
        <w:left w:val="none" w:sz="0" w:space="0" w:color="auto"/>
        <w:bottom w:val="none" w:sz="0" w:space="0" w:color="auto"/>
        <w:right w:val="none" w:sz="0" w:space="0" w:color="auto"/>
      </w:divBdr>
    </w:div>
    <w:div w:id="1305041986">
      <w:bodyDiv w:val="1"/>
      <w:marLeft w:val="0"/>
      <w:marRight w:val="0"/>
      <w:marTop w:val="0"/>
      <w:marBottom w:val="0"/>
      <w:divBdr>
        <w:top w:val="none" w:sz="0" w:space="0" w:color="auto"/>
        <w:left w:val="none" w:sz="0" w:space="0" w:color="auto"/>
        <w:bottom w:val="none" w:sz="0" w:space="0" w:color="auto"/>
        <w:right w:val="none" w:sz="0" w:space="0" w:color="auto"/>
      </w:divBdr>
    </w:div>
    <w:div w:id="1309699713">
      <w:bodyDiv w:val="1"/>
      <w:marLeft w:val="0"/>
      <w:marRight w:val="0"/>
      <w:marTop w:val="0"/>
      <w:marBottom w:val="0"/>
      <w:divBdr>
        <w:top w:val="none" w:sz="0" w:space="0" w:color="auto"/>
        <w:left w:val="none" w:sz="0" w:space="0" w:color="auto"/>
        <w:bottom w:val="none" w:sz="0" w:space="0" w:color="auto"/>
        <w:right w:val="none" w:sz="0" w:space="0" w:color="auto"/>
      </w:divBdr>
    </w:div>
    <w:div w:id="1343968317">
      <w:bodyDiv w:val="1"/>
      <w:marLeft w:val="0"/>
      <w:marRight w:val="0"/>
      <w:marTop w:val="0"/>
      <w:marBottom w:val="0"/>
      <w:divBdr>
        <w:top w:val="none" w:sz="0" w:space="0" w:color="auto"/>
        <w:left w:val="none" w:sz="0" w:space="0" w:color="auto"/>
        <w:bottom w:val="none" w:sz="0" w:space="0" w:color="auto"/>
        <w:right w:val="none" w:sz="0" w:space="0" w:color="auto"/>
      </w:divBdr>
    </w:div>
    <w:div w:id="1347751845">
      <w:bodyDiv w:val="1"/>
      <w:marLeft w:val="0"/>
      <w:marRight w:val="0"/>
      <w:marTop w:val="0"/>
      <w:marBottom w:val="0"/>
      <w:divBdr>
        <w:top w:val="none" w:sz="0" w:space="0" w:color="auto"/>
        <w:left w:val="none" w:sz="0" w:space="0" w:color="auto"/>
        <w:bottom w:val="none" w:sz="0" w:space="0" w:color="auto"/>
        <w:right w:val="none" w:sz="0" w:space="0" w:color="auto"/>
      </w:divBdr>
    </w:div>
    <w:div w:id="1357075068">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5370895">
      <w:bodyDiv w:val="1"/>
      <w:marLeft w:val="0"/>
      <w:marRight w:val="0"/>
      <w:marTop w:val="0"/>
      <w:marBottom w:val="0"/>
      <w:divBdr>
        <w:top w:val="none" w:sz="0" w:space="0" w:color="auto"/>
        <w:left w:val="none" w:sz="0" w:space="0" w:color="auto"/>
        <w:bottom w:val="none" w:sz="0" w:space="0" w:color="auto"/>
        <w:right w:val="none" w:sz="0" w:space="0" w:color="auto"/>
      </w:divBdr>
    </w:div>
    <w:div w:id="1395156113">
      <w:bodyDiv w:val="1"/>
      <w:marLeft w:val="0"/>
      <w:marRight w:val="0"/>
      <w:marTop w:val="0"/>
      <w:marBottom w:val="0"/>
      <w:divBdr>
        <w:top w:val="none" w:sz="0" w:space="0" w:color="auto"/>
        <w:left w:val="none" w:sz="0" w:space="0" w:color="auto"/>
        <w:bottom w:val="none" w:sz="0" w:space="0" w:color="auto"/>
        <w:right w:val="none" w:sz="0" w:space="0" w:color="auto"/>
      </w:divBdr>
    </w:div>
    <w:div w:id="1395816839">
      <w:bodyDiv w:val="1"/>
      <w:marLeft w:val="0"/>
      <w:marRight w:val="0"/>
      <w:marTop w:val="0"/>
      <w:marBottom w:val="0"/>
      <w:divBdr>
        <w:top w:val="none" w:sz="0" w:space="0" w:color="auto"/>
        <w:left w:val="none" w:sz="0" w:space="0" w:color="auto"/>
        <w:bottom w:val="none" w:sz="0" w:space="0" w:color="auto"/>
        <w:right w:val="none" w:sz="0" w:space="0" w:color="auto"/>
      </w:divBdr>
    </w:div>
    <w:div w:id="1400595515">
      <w:bodyDiv w:val="1"/>
      <w:marLeft w:val="0"/>
      <w:marRight w:val="0"/>
      <w:marTop w:val="0"/>
      <w:marBottom w:val="0"/>
      <w:divBdr>
        <w:top w:val="none" w:sz="0" w:space="0" w:color="auto"/>
        <w:left w:val="none" w:sz="0" w:space="0" w:color="auto"/>
        <w:bottom w:val="none" w:sz="0" w:space="0" w:color="auto"/>
        <w:right w:val="none" w:sz="0" w:space="0" w:color="auto"/>
      </w:divBdr>
    </w:div>
    <w:div w:id="1401976973">
      <w:bodyDiv w:val="1"/>
      <w:marLeft w:val="0"/>
      <w:marRight w:val="0"/>
      <w:marTop w:val="0"/>
      <w:marBottom w:val="0"/>
      <w:divBdr>
        <w:top w:val="none" w:sz="0" w:space="0" w:color="auto"/>
        <w:left w:val="none" w:sz="0" w:space="0" w:color="auto"/>
        <w:bottom w:val="none" w:sz="0" w:space="0" w:color="auto"/>
        <w:right w:val="none" w:sz="0" w:space="0" w:color="auto"/>
      </w:divBdr>
    </w:div>
    <w:div w:id="1409618348">
      <w:bodyDiv w:val="1"/>
      <w:marLeft w:val="0"/>
      <w:marRight w:val="0"/>
      <w:marTop w:val="0"/>
      <w:marBottom w:val="0"/>
      <w:divBdr>
        <w:top w:val="none" w:sz="0" w:space="0" w:color="auto"/>
        <w:left w:val="none" w:sz="0" w:space="0" w:color="auto"/>
        <w:bottom w:val="none" w:sz="0" w:space="0" w:color="auto"/>
        <w:right w:val="none" w:sz="0" w:space="0" w:color="auto"/>
      </w:divBdr>
    </w:div>
    <w:div w:id="1419447775">
      <w:bodyDiv w:val="1"/>
      <w:marLeft w:val="0"/>
      <w:marRight w:val="0"/>
      <w:marTop w:val="0"/>
      <w:marBottom w:val="0"/>
      <w:divBdr>
        <w:top w:val="none" w:sz="0" w:space="0" w:color="auto"/>
        <w:left w:val="none" w:sz="0" w:space="0" w:color="auto"/>
        <w:bottom w:val="none" w:sz="0" w:space="0" w:color="auto"/>
        <w:right w:val="none" w:sz="0" w:space="0" w:color="auto"/>
      </w:divBdr>
    </w:div>
    <w:div w:id="1423838917">
      <w:bodyDiv w:val="1"/>
      <w:marLeft w:val="0"/>
      <w:marRight w:val="0"/>
      <w:marTop w:val="0"/>
      <w:marBottom w:val="0"/>
      <w:divBdr>
        <w:top w:val="none" w:sz="0" w:space="0" w:color="auto"/>
        <w:left w:val="none" w:sz="0" w:space="0" w:color="auto"/>
        <w:bottom w:val="none" w:sz="0" w:space="0" w:color="auto"/>
        <w:right w:val="none" w:sz="0" w:space="0" w:color="auto"/>
      </w:divBdr>
    </w:div>
    <w:div w:id="1432434462">
      <w:bodyDiv w:val="1"/>
      <w:marLeft w:val="0"/>
      <w:marRight w:val="0"/>
      <w:marTop w:val="0"/>
      <w:marBottom w:val="0"/>
      <w:divBdr>
        <w:top w:val="none" w:sz="0" w:space="0" w:color="auto"/>
        <w:left w:val="none" w:sz="0" w:space="0" w:color="auto"/>
        <w:bottom w:val="none" w:sz="0" w:space="0" w:color="auto"/>
        <w:right w:val="none" w:sz="0" w:space="0" w:color="auto"/>
      </w:divBdr>
    </w:div>
    <w:div w:id="1436755868">
      <w:bodyDiv w:val="1"/>
      <w:marLeft w:val="0"/>
      <w:marRight w:val="0"/>
      <w:marTop w:val="0"/>
      <w:marBottom w:val="0"/>
      <w:divBdr>
        <w:top w:val="none" w:sz="0" w:space="0" w:color="auto"/>
        <w:left w:val="none" w:sz="0" w:space="0" w:color="auto"/>
        <w:bottom w:val="none" w:sz="0" w:space="0" w:color="auto"/>
        <w:right w:val="none" w:sz="0" w:space="0" w:color="auto"/>
      </w:divBdr>
    </w:div>
    <w:div w:id="1436898456">
      <w:bodyDiv w:val="1"/>
      <w:marLeft w:val="0"/>
      <w:marRight w:val="0"/>
      <w:marTop w:val="0"/>
      <w:marBottom w:val="0"/>
      <w:divBdr>
        <w:top w:val="none" w:sz="0" w:space="0" w:color="auto"/>
        <w:left w:val="none" w:sz="0" w:space="0" w:color="auto"/>
        <w:bottom w:val="none" w:sz="0" w:space="0" w:color="auto"/>
        <w:right w:val="none" w:sz="0" w:space="0" w:color="auto"/>
      </w:divBdr>
    </w:div>
    <w:div w:id="1445346851">
      <w:bodyDiv w:val="1"/>
      <w:marLeft w:val="0"/>
      <w:marRight w:val="0"/>
      <w:marTop w:val="0"/>
      <w:marBottom w:val="0"/>
      <w:divBdr>
        <w:top w:val="none" w:sz="0" w:space="0" w:color="auto"/>
        <w:left w:val="none" w:sz="0" w:space="0" w:color="auto"/>
        <w:bottom w:val="none" w:sz="0" w:space="0" w:color="auto"/>
        <w:right w:val="none" w:sz="0" w:space="0" w:color="auto"/>
      </w:divBdr>
    </w:div>
    <w:div w:id="1457916435">
      <w:bodyDiv w:val="1"/>
      <w:marLeft w:val="0"/>
      <w:marRight w:val="0"/>
      <w:marTop w:val="0"/>
      <w:marBottom w:val="0"/>
      <w:divBdr>
        <w:top w:val="none" w:sz="0" w:space="0" w:color="auto"/>
        <w:left w:val="none" w:sz="0" w:space="0" w:color="auto"/>
        <w:bottom w:val="none" w:sz="0" w:space="0" w:color="auto"/>
        <w:right w:val="none" w:sz="0" w:space="0" w:color="auto"/>
      </w:divBdr>
    </w:div>
    <w:div w:id="1473211907">
      <w:bodyDiv w:val="1"/>
      <w:marLeft w:val="0"/>
      <w:marRight w:val="0"/>
      <w:marTop w:val="0"/>
      <w:marBottom w:val="0"/>
      <w:divBdr>
        <w:top w:val="none" w:sz="0" w:space="0" w:color="auto"/>
        <w:left w:val="none" w:sz="0" w:space="0" w:color="auto"/>
        <w:bottom w:val="none" w:sz="0" w:space="0" w:color="auto"/>
        <w:right w:val="none" w:sz="0" w:space="0" w:color="auto"/>
      </w:divBdr>
    </w:div>
    <w:div w:id="1483696554">
      <w:bodyDiv w:val="1"/>
      <w:marLeft w:val="0"/>
      <w:marRight w:val="0"/>
      <w:marTop w:val="0"/>
      <w:marBottom w:val="0"/>
      <w:divBdr>
        <w:top w:val="none" w:sz="0" w:space="0" w:color="auto"/>
        <w:left w:val="none" w:sz="0" w:space="0" w:color="auto"/>
        <w:bottom w:val="none" w:sz="0" w:space="0" w:color="auto"/>
        <w:right w:val="none" w:sz="0" w:space="0" w:color="auto"/>
      </w:divBdr>
    </w:div>
    <w:div w:id="1488594853">
      <w:bodyDiv w:val="1"/>
      <w:marLeft w:val="0"/>
      <w:marRight w:val="0"/>
      <w:marTop w:val="0"/>
      <w:marBottom w:val="0"/>
      <w:divBdr>
        <w:top w:val="none" w:sz="0" w:space="0" w:color="auto"/>
        <w:left w:val="none" w:sz="0" w:space="0" w:color="auto"/>
        <w:bottom w:val="none" w:sz="0" w:space="0" w:color="auto"/>
        <w:right w:val="none" w:sz="0" w:space="0" w:color="auto"/>
      </w:divBdr>
    </w:div>
    <w:div w:id="1495025893">
      <w:bodyDiv w:val="1"/>
      <w:marLeft w:val="0"/>
      <w:marRight w:val="0"/>
      <w:marTop w:val="0"/>
      <w:marBottom w:val="0"/>
      <w:divBdr>
        <w:top w:val="none" w:sz="0" w:space="0" w:color="auto"/>
        <w:left w:val="none" w:sz="0" w:space="0" w:color="auto"/>
        <w:bottom w:val="none" w:sz="0" w:space="0" w:color="auto"/>
        <w:right w:val="none" w:sz="0" w:space="0" w:color="auto"/>
      </w:divBdr>
    </w:div>
    <w:div w:id="1518539773">
      <w:bodyDiv w:val="1"/>
      <w:marLeft w:val="0"/>
      <w:marRight w:val="0"/>
      <w:marTop w:val="0"/>
      <w:marBottom w:val="0"/>
      <w:divBdr>
        <w:top w:val="none" w:sz="0" w:space="0" w:color="auto"/>
        <w:left w:val="none" w:sz="0" w:space="0" w:color="auto"/>
        <w:bottom w:val="none" w:sz="0" w:space="0" w:color="auto"/>
        <w:right w:val="none" w:sz="0" w:space="0" w:color="auto"/>
      </w:divBdr>
    </w:div>
    <w:div w:id="1522550249">
      <w:bodyDiv w:val="1"/>
      <w:marLeft w:val="0"/>
      <w:marRight w:val="0"/>
      <w:marTop w:val="0"/>
      <w:marBottom w:val="0"/>
      <w:divBdr>
        <w:top w:val="none" w:sz="0" w:space="0" w:color="auto"/>
        <w:left w:val="none" w:sz="0" w:space="0" w:color="auto"/>
        <w:bottom w:val="none" w:sz="0" w:space="0" w:color="auto"/>
        <w:right w:val="none" w:sz="0" w:space="0" w:color="auto"/>
      </w:divBdr>
    </w:div>
    <w:div w:id="1528131400">
      <w:bodyDiv w:val="1"/>
      <w:marLeft w:val="0"/>
      <w:marRight w:val="0"/>
      <w:marTop w:val="0"/>
      <w:marBottom w:val="0"/>
      <w:divBdr>
        <w:top w:val="none" w:sz="0" w:space="0" w:color="auto"/>
        <w:left w:val="none" w:sz="0" w:space="0" w:color="auto"/>
        <w:bottom w:val="none" w:sz="0" w:space="0" w:color="auto"/>
        <w:right w:val="none" w:sz="0" w:space="0" w:color="auto"/>
      </w:divBdr>
    </w:div>
    <w:div w:id="1549141578">
      <w:bodyDiv w:val="1"/>
      <w:marLeft w:val="0"/>
      <w:marRight w:val="0"/>
      <w:marTop w:val="0"/>
      <w:marBottom w:val="0"/>
      <w:divBdr>
        <w:top w:val="none" w:sz="0" w:space="0" w:color="auto"/>
        <w:left w:val="none" w:sz="0" w:space="0" w:color="auto"/>
        <w:bottom w:val="none" w:sz="0" w:space="0" w:color="auto"/>
        <w:right w:val="none" w:sz="0" w:space="0" w:color="auto"/>
      </w:divBdr>
    </w:div>
    <w:div w:id="1555504232">
      <w:bodyDiv w:val="1"/>
      <w:marLeft w:val="0"/>
      <w:marRight w:val="0"/>
      <w:marTop w:val="0"/>
      <w:marBottom w:val="0"/>
      <w:divBdr>
        <w:top w:val="none" w:sz="0" w:space="0" w:color="auto"/>
        <w:left w:val="none" w:sz="0" w:space="0" w:color="auto"/>
        <w:bottom w:val="none" w:sz="0" w:space="0" w:color="auto"/>
        <w:right w:val="none" w:sz="0" w:space="0" w:color="auto"/>
      </w:divBdr>
    </w:div>
    <w:div w:id="1557857896">
      <w:bodyDiv w:val="1"/>
      <w:marLeft w:val="0"/>
      <w:marRight w:val="0"/>
      <w:marTop w:val="0"/>
      <w:marBottom w:val="0"/>
      <w:divBdr>
        <w:top w:val="none" w:sz="0" w:space="0" w:color="auto"/>
        <w:left w:val="none" w:sz="0" w:space="0" w:color="auto"/>
        <w:bottom w:val="none" w:sz="0" w:space="0" w:color="auto"/>
        <w:right w:val="none" w:sz="0" w:space="0" w:color="auto"/>
      </w:divBdr>
    </w:div>
    <w:div w:id="1576553925">
      <w:bodyDiv w:val="1"/>
      <w:marLeft w:val="0"/>
      <w:marRight w:val="0"/>
      <w:marTop w:val="0"/>
      <w:marBottom w:val="0"/>
      <w:divBdr>
        <w:top w:val="none" w:sz="0" w:space="0" w:color="auto"/>
        <w:left w:val="none" w:sz="0" w:space="0" w:color="auto"/>
        <w:bottom w:val="none" w:sz="0" w:space="0" w:color="auto"/>
        <w:right w:val="none" w:sz="0" w:space="0" w:color="auto"/>
      </w:divBdr>
    </w:div>
    <w:div w:id="1584610600">
      <w:bodyDiv w:val="1"/>
      <w:marLeft w:val="0"/>
      <w:marRight w:val="0"/>
      <w:marTop w:val="0"/>
      <w:marBottom w:val="0"/>
      <w:divBdr>
        <w:top w:val="none" w:sz="0" w:space="0" w:color="auto"/>
        <w:left w:val="none" w:sz="0" w:space="0" w:color="auto"/>
        <w:bottom w:val="none" w:sz="0" w:space="0" w:color="auto"/>
        <w:right w:val="none" w:sz="0" w:space="0" w:color="auto"/>
      </w:divBdr>
    </w:div>
    <w:div w:id="1589387291">
      <w:bodyDiv w:val="1"/>
      <w:marLeft w:val="0"/>
      <w:marRight w:val="0"/>
      <w:marTop w:val="0"/>
      <w:marBottom w:val="0"/>
      <w:divBdr>
        <w:top w:val="none" w:sz="0" w:space="0" w:color="auto"/>
        <w:left w:val="none" w:sz="0" w:space="0" w:color="auto"/>
        <w:bottom w:val="none" w:sz="0" w:space="0" w:color="auto"/>
        <w:right w:val="none" w:sz="0" w:space="0" w:color="auto"/>
      </w:divBdr>
    </w:div>
    <w:div w:id="1601646178">
      <w:bodyDiv w:val="1"/>
      <w:marLeft w:val="0"/>
      <w:marRight w:val="0"/>
      <w:marTop w:val="0"/>
      <w:marBottom w:val="0"/>
      <w:divBdr>
        <w:top w:val="none" w:sz="0" w:space="0" w:color="auto"/>
        <w:left w:val="none" w:sz="0" w:space="0" w:color="auto"/>
        <w:bottom w:val="none" w:sz="0" w:space="0" w:color="auto"/>
        <w:right w:val="none" w:sz="0" w:space="0" w:color="auto"/>
      </w:divBdr>
    </w:div>
    <w:div w:id="1604730445">
      <w:bodyDiv w:val="1"/>
      <w:marLeft w:val="0"/>
      <w:marRight w:val="0"/>
      <w:marTop w:val="0"/>
      <w:marBottom w:val="0"/>
      <w:divBdr>
        <w:top w:val="none" w:sz="0" w:space="0" w:color="auto"/>
        <w:left w:val="none" w:sz="0" w:space="0" w:color="auto"/>
        <w:bottom w:val="none" w:sz="0" w:space="0" w:color="auto"/>
        <w:right w:val="none" w:sz="0" w:space="0" w:color="auto"/>
      </w:divBdr>
    </w:div>
    <w:div w:id="1612737213">
      <w:bodyDiv w:val="1"/>
      <w:marLeft w:val="0"/>
      <w:marRight w:val="0"/>
      <w:marTop w:val="0"/>
      <w:marBottom w:val="0"/>
      <w:divBdr>
        <w:top w:val="none" w:sz="0" w:space="0" w:color="auto"/>
        <w:left w:val="none" w:sz="0" w:space="0" w:color="auto"/>
        <w:bottom w:val="none" w:sz="0" w:space="0" w:color="auto"/>
        <w:right w:val="none" w:sz="0" w:space="0" w:color="auto"/>
      </w:divBdr>
    </w:div>
    <w:div w:id="1614898184">
      <w:bodyDiv w:val="1"/>
      <w:marLeft w:val="0"/>
      <w:marRight w:val="0"/>
      <w:marTop w:val="0"/>
      <w:marBottom w:val="0"/>
      <w:divBdr>
        <w:top w:val="none" w:sz="0" w:space="0" w:color="auto"/>
        <w:left w:val="none" w:sz="0" w:space="0" w:color="auto"/>
        <w:bottom w:val="none" w:sz="0" w:space="0" w:color="auto"/>
        <w:right w:val="none" w:sz="0" w:space="0" w:color="auto"/>
      </w:divBdr>
      <w:divsChild>
        <w:div w:id="1031302764">
          <w:marLeft w:val="0"/>
          <w:marRight w:val="0"/>
          <w:marTop w:val="0"/>
          <w:marBottom w:val="0"/>
          <w:divBdr>
            <w:top w:val="none" w:sz="0" w:space="0" w:color="auto"/>
            <w:left w:val="none" w:sz="0" w:space="0" w:color="auto"/>
            <w:bottom w:val="none" w:sz="0" w:space="0" w:color="auto"/>
            <w:right w:val="none" w:sz="0" w:space="0" w:color="auto"/>
          </w:divBdr>
        </w:div>
      </w:divsChild>
    </w:div>
    <w:div w:id="1624001906">
      <w:bodyDiv w:val="1"/>
      <w:marLeft w:val="0"/>
      <w:marRight w:val="0"/>
      <w:marTop w:val="0"/>
      <w:marBottom w:val="0"/>
      <w:divBdr>
        <w:top w:val="none" w:sz="0" w:space="0" w:color="auto"/>
        <w:left w:val="none" w:sz="0" w:space="0" w:color="auto"/>
        <w:bottom w:val="none" w:sz="0" w:space="0" w:color="auto"/>
        <w:right w:val="none" w:sz="0" w:space="0" w:color="auto"/>
      </w:divBdr>
    </w:div>
    <w:div w:id="1632133192">
      <w:bodyDiv w:val="1"/>
      <w:marLeft w:val="0"/>
      <w:marRight w:val="0"/>
      <w:marTop w:val="0"/>
      <w:marBottom w:val="0"/>
      <w:divBdr>
        <w:top w:val="none" w:sz="0" w:space="0" w:color="auto"/>
        <w:left w:val="none" w:sz="0" w:space="0" w:color="auto"/>
        <w:bottom w:val="none" w:sz="0" w:space="0" w:color="auto"/>
        <w:right w:val="none" w:sz="0" w:space="0" w:color="auto"/>
      </w:divBdr>
    </w:div>
    <w:div w:id="1640303225">
      <w:bodyDiv w:val="1"/>
      <w:marLeft w:val="0"/>
      <w:marRight w:val="0"/>
      <w:marTop w:val="0"/>
      <w:marBottom w:val="0"/>
      <w:divBdr>
        <w:top w:val="none" w:sz="0" w:space="0" w:color="auto"/>
        <w:left w:val="none" w:sz="0" w:space="0" w:color="auto"/>
        <w:bottom w:val="none" w:sz="0" w:space="0" w:color="auto"/>
        <w:right w:val="none" w:sz="0" w:space="0" w:color="auto"/>
      </w:divBdr>
    </w:div>
    <w:div w:id="1649557062">
      <w:bodyDiv w:val="1"/>
      <w:marLeft w:val="0"/>
      <w:marRight w:val="0"/>
      <w:marTop w:val="0"/>
      <w:marBottom w:val="0"/>
      <w:divBdr>
        <w:top w:val="none" w:sz="0" w:space="0" w:color="auto"/>
        <w:left w:val="none" w:sz="0" w:space="0" w:color="auto"/>
        <w:bottom w:val="none" w:sz="0" w:space="0" w:color="auto"/>
        <w:right w:val="none" w:sz="0" w:space="0" w:color="auto"/>
      </w:divBdr>
    </w:div>
    <w:div w:id="1651590448">
      <w:bodyDiv w:val="1"/>
      <w:marLeft w:val="0"/>
      <w:marRight w:val="0"/>
      <w:marTop w:val="0"/>
      <w:marBottom w:val="0"/>
      <w:divBdr>
        <w:top w:val="none" w:sz="0" w:space="0" w:color="auto"/>
        <w:left w:val="none" w:sz="0" w:space="0" w:color="auto"/>
        <w:bottom w:val="none" w:sz="0" w:space="0" w:color="auto"/>
        <w:right w:val="none" w:sz="0" w:space="0" w:color="auto"/>
      </w:divBdr>
    </w:div>
    <w:div w:id="1667050194">
      <w:bodyDiv w:val="1"/>
      <w:marLeft w:val="0"/>
      <w:marRight w:val="0"/>
      <w:marTop w:val="0"/>
      <w:marBottom w:val="0"/>
      <w:divBdr>
        <w:top w:val="none" w:sz="0" w:space="0" w:color="auto"/>
        <w:left w:val="none" w:sz="0" w:space="0" w:color="auto"/>
        <w:bottom w:val="none" w:sz="0" w:space="0" w:color="auto"/>
        <w:right w:val="none" w:sz="0" w:space="0" w:color="auto"/>
      </w:divBdr>
    </w:div>
    <w:div w:id="1674379374">
      <w:bodyDiv w:val="1"/>
      <w:marLeft w:val="0"/>
      <w:marRight w:val="0"/>
      <w:marTop w:val="0"/>
      <w:marBottom w:val="0"/>
      <w:divBdr>
        <w:top w:val="none" w:sz="0" w:space="0" w:color="auto"/>
        <w:left w:val="none" w:sz="0" w:space="0" w:color="auto"/>
        <w:bottom w:val="none" w:sz="0" w:space="0" w:color="auto"/>
        <w:right w:val="none" w:sz="0" w:space="0" w:color="auto"/>
      </w:divBdr>
    </w:div>
    <w:div w:id="1677151404">
      <w:bodyDiv w:val="1"/>
      <w:marLeft w:val="0"/>
      <w:marRight w:val="0"/>
      <w:marTop w:val="0"/>
      <w:marBottom w:val="0"/>
      <w:divBdr>
        <w:top w:val="none" w:sz="0" w:space="0" w:color="auto"/>
        <w:left w:val="none" w:sz="0" w:space="0" w:color="auto"/>
        <w:bottom w:val="none" w:sz="0" w:space="0" w:color="auto"/>
        <w:right w:val="none" w:sz="0" w:space="0" w:color="auto"/>
      </w:divBdr>
    </w:div>
    <w:div w:id="1680617558">
      <w:bodyDiv w:val="1"/>
      <w:marLeft w:val="0"/>
      <w:marRight w:val="0"/>
      <w:marTop w:val="0"/>
      <w:marBottom w:val="0"/>
      <w:divBdr>
        <w:top w:val="none" w:sz="0" w:space="0" w:color="auto"/>
        <w:left w:val="none" w:sz="0" w:space="0" w:color="auto"/>
        <w:bottom w:val="none" w:sz="0" w:space="0" w:color="auto"/>
        <w:right w:val="none" w:sz="0" w:space="0" w:color="auto"/>
      </w:divBdr>
    </w:div>
    <w:div w:id="1685283610">
      <w:bodyDiv w:val="1"/>
      <w:marLeft w:val="0"/>
      <w:marRight w:val="0"/>
      <w:marTop w:val="0"/>
      <w:marBottom w:val="0"/>
      <w:divBdr>
        <w:top w:val="none" w:sz="0" w:space="0" w:color="auto"/>
        <w:left w:val="none" w:sz="0" w:space="0" w:color="auto"/>
        <w:bottom w:val="none" w:sz="0" w:space="0" w:color="auto"/>
        <w:right w:val="none" w:sz="0" w:space="0" w:color="auto"/>
      </w:divBdr>
    </w:div>
    <w:div w:id="1686714493">
      <w:bodyDiv w:val="1"/>
      <w:marLeft w:val="0"/>
      <w:marRight w:val="0"/>
      <w:marTop w:val="0"/>
      <w:marBottom w:val="0"/>
      <w:divBdr>
        <w:top w:val="none" w:sz="0" w:space="0" w:color="auto"/>
        <w:left w:val="none" w:sz="0" w:space="0" w:color="auto"/>
        <w:bottom w:val="none" w:sz="0" w:space="0" w:color="auto"/>
        <w:right w:val="none" w:sz="0" w:space="0" w:color="auto"/>
      </w:divBdr>
    </w:div>
    <w:div w:id="1702166743">
      <w:bodyDiv w:val="1"/>
      <w:marLeft w:val="0"/>
      <w:marRight w:val="0"/>
      <w:marTop w:val="0"/>
      <w:marBottom w:val="0"/>
      <w:divBdr>
        <w:top w:val="none" w:sz="0" w:space="0" w:color="auto"/>
        <w:left w:val="none" w:sz="0" w:space="0" w:color="auto"/>
        <w:bottom w:val="none" w:sz="0" w:space="0" w:color="auto"/>
        <w:right w:val="none" w:sz="0" w:space="0" w:color="auto"/>
      </w:divBdr>
    </w:div>
    <w:div w:id="1705254876">
      <w:bodyDiv w:val="1"/>
      <w:marLeft w:val="0"/>
      <w:marRight w:val="0"/>
      <w:marTop w:val="0"/>
      <w:marBottom w:val="0"/>
      <w:divBdr>
        <w:top w:val="none" w:sz="0" w:space="0" w:color="auto"/>
        <w:left w:val="none" w:sz="0" w:space="0" w:color="auto"/>
        <w:bottom w:val="none" w:sz="0" w:space="0" w:color="auto"/>
        <w:right w:val="none" w:sz="0" w:space="0" w:color="auto"/>
      </w:divBdr>
    </w:div>
    <w:div w:id="1707290317">
      <w:bodyDiv w:val="1"/>
      <w:marLeft w:val="0"/>
      <w:marRight w:val="0"/>
      <w:marTop w:val="0"/>
      <w:marBottom w:val="0"/>
      <w:divBdr>
        <w:top w:val="none" w:sz="0" w:space="0" w:color="auto"/>
        <w:left w:val="none" w:sz="0" w:space="0" w:color="auto"/>
        <w:bottom w:val="none" w:sz="0" w:space="0" w:color="auto"/>
        <w:right w:val="none" w:sz="0" w:space="0" w:color="auto"/>
      </w:divBdr>
    </w:div>
    <w:div w:id="1716392009">
      <w:bodyDiv w:val="1"/>
      <w:marLeft w:val="0"/>
      <w:marRight w:val="0"/>
      <w:marTop w:val="0"/>
      <w:marBottom w:val="0"/>
      <w:divBdr>
        <w:top w:val="none" w:sz="0" w:space="0" w:color="auto"/>
        <w:left w:val="none" w:sz="0" w:space="0" w:color="auto"/>
        <w:bottom w:val="none" w:sz="0" w:space="0" w:color="auto"/>
        <w:right w:val="none" w:sz="0" w:space="0" w:color="auto"/>
      </w:divBdr>
      <w:divsChild>
        <w:div w:id="705644228">
          <w:marLeft w:val="0"/>
          <w:marRight w:val="0"/>
          <w:marTop w:val="0"/>
          <w:marBottom w:val="0"/>
          <w:divBdr>
            <w:top w:val="none" w:sz="0" w:space="0" w:color="auto"/>
            <w:left w:val="none" w:sz="0" w:space="0" w:color="auto"/>
            <w:bottom w:val="none" w:sz="0" w:space="0" w:color="auto"/>
            <w:right w:val="none" w:sz="0" w:space="0" w:color="auto"/>
          </w:divBdr>
          <w:divsChild>
            <w:div w:id="734166670">
              <w:marLeft w:val="0"/>
              <w:marRight w:val="0"/>
              <w:marTop w:val="0"/>
              <w:marBottom w:val="0"/>
              <w:divBdr>
                <w:top w:val="none" w:sz="0" w:space="0" w:color="auto"/>
                <w:left w:val="none" w:sz="0" w:space="0" w:color="auto"/>
                <w:bottom w:val="none" w:sz="0" w:space="0" w:color="auto"/>
                <w:right w:val="none" w:sz="0" w:space="0" w:color="auto"/>
              </w:divBdr>
              <w:divsChild>
                <w:div w:id="1186288000">
                  <w:marLeft w:val="-75"/>
                  <w:marRight w:val="0"/>
                  <w:marTop w:val="300"/>
                  <w:marBottom w:val="0"/>
                  <w:divBdr>
                    <w:top w:val="none" w:sz="0" w:space="0" w:color="auto"/>
                    <w:left w:val="none" w:sz="0" w:space="0" w:color="auto"/>
                    <w:bottom w:val="none" w:sz="0" w:space="0" w:color="auto"/>
                    <w:right w:val="none" w:sz="0" w:space="0" w:color="auto"/>
                  </w:divBdr>
                  <w:divsChild>
                    <w:div w:id="1270357716">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 w:id="1732389177">
      <w:bodyDiv w:val="1"/>
      <w:marLeft w:val="0"/>
      <w:marRight w:val="0"/>
      <w:marTop w:val="0"/>
      <w:marBottom w:val="0"/>
      <w:divBdr>
        <w:top w:val="none" w:sz="0" w:space="0" w:color="auto"/>
        <w:left w:val="none" w:sz="0" w:space="0" w:color="auto"/>
        <w:bottom w:val="none" w:sz="0" w:space="0" w:color="auto"/>
        <w:right w:val="none" w:sz="0" w:space="0" w:color="auto"/>
      </w:divBdr>
    </w:div>
    <w:div w:id="1756248820">
      <w:bodyDiv w:val="1"/>
      <w:marLeft w:val="0"/>
      <w:marRight w:val="0"/>
      <w:marTop w:val="0"/>
      <w:marBottom w:val="0"/>
      <w:divBdr>
        <w:top w:val="none" w:sz="0" w:space="0" w:color="auto"/>
        <w:left w:val="none" w:sz="0" w:space="0" w:color="auto"/>
        <w:bottom w:val="none" w:sz="0" w:space="0" w:color="auto"/>
        <w:right w:val="none" w:sz="0" w:space="0" w:color="auto"/>
      </w:divBdr>
    </w:div>
    <w:div w:id="1764257124">
      <w:bodyDiv w:val="1"/>
      <w:marLeft w:val="0"/>
      <w:marRight w:val="0"/>
      <w:marTop w:val="0"/>
      <w:marBottom w:val="0"/>
      <w:divBdr>
        <w:top w:val="none" w:sz="0" w:space="0" w:color="auto"/>
        <w:left w:val="none" w:sz="0" w:space="0" w:color="auto"/>
        <w:bottom w:val="none" w:sz="0" w:space="0" w:color="auto"/>
        <w:right w:val="none" w:sz="0" w:space="0" w:color="auto"/>
      </w:divBdr>
    </w:div>
    <w:div w:id="1769622668">
      <w:bodyDiv w:val="1"/>
      <w:marLeft w:val="0"/>
      <w:marRight w:val="0"/>
      <w:marTop w:val="0"/>
      <w:marBottom w:val="0"/>
      <w:divBdr>
        <w:top w:val="none" w:sz="0" w:space="0" w:color="auto"/>
        <w:left w:val="none" w:sz="0" w:space="0" w:color="auto"/>
        <w:bottom w:val="none" w:sz="0" w:space="0" w:color="auto"/>
        <w:right w:val="none" w:sz="0" w:space="0" w:color="auto"/>
      </w:divBdr>
    </w:div>
    <w:div w:id="1774399197">
      <w:bodyDiv w:val="1"/>
      <w:marLeft w:val="0"/>
      <w:marRight w:val="0"/>
      <w:marTop w:val="0"/>
      <w:marBottom w:val="0"/>
      <w:divBdr>
        <w:top w:val="none" w:sz="0" w:space="0" w:color="auto"/>
        <w:left w:val="none" w:sz="0" w:space="0" w:color="auto"/>
        <w:bottom w:val="none" w:sz="0" w:space="0" w:color="auto"/>
        <w:right w:val="none" w:sz="0" w:space="0" w:color="auto"/>
      </w:divBdr>
    </w:div>
    <w:div w:id="1784223261">
      <w:bodyDiv w:val="1"/>
      <w:marLeft w:val="0"/>
      <w:marRight w:val="0"/>
      <w:marTop w:val="0"/>
      <w:marBottom w:val="0"/>
      <w:divBdr>
        <w:top w:val="none" w:sz="0" w:space="0" w:color="auto"/>
        <w:left w:val="none" w:sz="0" w:space="0" w:color="auto"/>
        <w:bottom w:val="none" w:sz="0" w:space="0" w:color="auto"/>
        <w:right w:val="none" w:sz="0" w:space="0" w:color="auto"/>
      </w:divBdr>
    </w:div>
    <w:div w:id="1784496194">
      <w:bodyDiv w:val="1"/>
      <w:marLeft w:val="0"/>
      <w:marRight w:val="0"/>
      <w:marTop w:val="0"/>
      <w:marBottom w:val="0"/>
      <w:divBdr>
        <w:top w:val="none" w:sz="0" w:space="0" w:color="auto"/>
        <w:left w:val="none" w:sz="0" w:space="0" w:color="auto"/>
        <w:bottom w:val="none" w:sz="0" w:space="0" w:color="auto"/>
        <w:right w:val="none" w:sz="0" w:space="0" w:color="auto"/>
      </w:divBdr>
    </w:div>
    <w:div w:id="1788041326">
      <w:bodyDiv w:val="1"/>
      <w:marLeft w:val="0"/>
      <w:marRight w:val="0"/>
      <w:marTop w:val="0"/>
      <w:marBottom w:val="0"/>
      <w:divBdr>
        <w:top w:val="none" w:sz="0" w:space="0" w:color="auto"/>
        <w:left w:val="none" w:sz="0" w:space="0" w:color="auto"/>
        <w:bottom w:val="none" w:sz="0" w:space="0" w:color="auto"/>
        <w:right w:val="none" w:sz="0" w:space="0" w:color="auto"/>
      </w:divBdr>
    </w:div>
    <w:div w:id="1791439274">
      <w:bodyDiv w:val="1"/>
      <w:marLeft w:val="0"/>
      <w:marRight w:val="0"/>
      <w:marTop w:val="0"/>
      <w:marBottom w:val="0"/>
      <w:divBdr>
        <w:top w:val="none" w:sz="0" w:space="0" w:color="auto"/>
        <w:left w:val="none" w:sz="0" w:space="0" w:color="auto"/>
        <w:bottom w:val="none" w:sz="0" w:space="0" w:color="auto"/>
        <w:right w:val="none" w:sz="0" w:space="0" w:color="auto"/>
      </w:divBdr>
    </w:div>
    <w:div w:id="1813280601">
      <w:bodyDiv w:val="1"/>
      <w:marLeft w:val="0"/>
      <w:marRight w:val="0"/>
      <w:marTop w:val="0"/>
      <w:marBottom w:val="0"/>
      <w:divBdr>
        <w:top w:val="none" w:sz="0" w:space="0" w:color="auto"/>
        <w:left w:val="none" w:sz="0" w:space="0" w:color="auto"/>
        <w:bottom w:val="none" w:sz="0" w:space="0" w:color="auto"/>
        <w:right w:val="none" w:sz="0" w:space="0" w:color="auto"/>
      </w:divBdr>
    </w:div>
    <w:div w:id="1821994337">
      <w:bodyDiv w:val="1"/>
      <w:marLeft w:val="0"/>
      <w:marRight w:val="0"/>
      <w:marTop w:val="0"/>
      <w:marBottom w:val="0"/>
      <w:divBdr>
        <w:top w:val="none" w:sz="0" w:space="0" w:color="auto"/>
        <w:left w:val="none" w:sz="0" w:space="0" w:color="auto"/>
        <w:bottom w:val="none" w:sz="0" w:space="0" w:color="auto"/>
        <w:right w:val="none" w:sz="0" w:space="0" w:color="auto"/>
      </w:divBdr>
    </w:div>
    <w:div w:id="1837727209">
      <w:bodyDiv w:val="1"/>
      <w:marLeft w:val="0"/>
      <w:marRight w:val="0"/>
      <w:marTop w:val="0"/>
      <w:marBottom w:val="0"/>
      <w:divBdr>
        <w:top w:val="none" w:sz="0" w:space="0" w:color="auto"/>
        <w:left w:val="none" w:sz="0" w:space="0" w:color="auto"/>
        <w:bottom w:val="none" w:sz="0" w:space="0" w:color="auto"/>
        <w:right w:val="none" w:sz="0" w:space="0" w:color="auto"/>
      </w:divBdr>
    </w:div>
    <w:div w:id="1844275020">
      <w:bodyDiv w:val="1"/>
      <w:marLeft w:val="0"/>
      <w:marRight w:val="0"/>
      <w:marTop w:val="0"/>
      <w:marBottom w:val="0"/>
      <w:divBdr>
        <w:top w:val="none" w:sz="0" w:space="0" w:color="auto"/>
        <w:left w:val="none" w:sz="0" w:space="0" w:color="auto"/>
        <w:bottom w:val="none" w:sz="0" w:space="0" w:color="auto"/>
        <w:right w:val="none" w:sz="0" w:space="0" w:color="auto"/>
      </w:divBdr>
    </w:div>
    <w:div w:id="1860578089">
      <w:bodyDiv w:val="1"/>
      <w:marLeft w:val="0"/>
      <w:marRight w:val="0"/>
      <w:marTop w:val="0"/>
      <w:marBottom w:val="0"/>
      <w:divBdr>
        <w:top w:val="none" w:sz="0" w:space="0" w:color="auto"/>
        <w:left w:val="none" w:sz="0" w:space="0" w:color="auto"/>
        <w:bottom w:val="none" w:sz="0" w:space="0" w:color="auto"/>
        <w:right w:val="none" w:sz="0" w:space="0" w:color="auto"/>
      </w:divBdr>
    </w:div>
    <w:div w:id="1865054975">
      <w:bodyDiv w:val="1"/>
      <w:marLeft w:val="0"/>
      <w:marRight w:val="0"/>
      <w:marTop w:val="0"/>
      <w:marBottom w:val="0"/>
      <w:divBdr>
        <w:top w:val="none" w:sz="0" w:space="0" w:color="auto"/>
        <w:left w:val="none" w:sz="0" w:space="0" w:color="auto"/>
        <w:bottom w:val="none" w:sz="0" w:space="0" w:color="auto"/>
        <w:right w:val="none" w:sz="0" w:space="0" w:color="auto"/>
      </w:divBdr>
    </w:div>
    <w:div w:id="1914076995">
      <w:bodyDiv w:val="1"/>
      <w:marLeft w:val="0"/>
      <w:marRight w:val="0"/>
      <w:marTop w:val="0"/>
      <w:marBottom w:val="0"/>
      <w:divBdr>
        <w:top w:val="none" w:sz="0" w:space="0" w:color="auto"/>
        <w:left w:val="none" w:sz="0" w:space="0" w:color="auto"/>
        <w:bottom w:val="none" w:sz="0" w:space="0" w:color="auto"/>
        <w:right w:val="none" w:sz="0" w:space="0" w:color="auto"/>
      </w:divBdr>
    </w:div>
    <w:div w:id="1922596351">
      <w:bodyDiv w:val="1"/>
      <w:marLeft w:val="0"/>
      <w:marRight w:val="0"/>
      <w:marTop w:val="0"/>
      <w:marBottom w:val="0"/>
      <w:divBdr>
        <w:top w:val="none" w:sz="0" w:space="0" w:color="auto"/>
        <w:left w:val="none" w:sz="0" w:space="0" w:color="auto"/>
        <w:bottom w:val="none" w:sz="0" w:space="0" w:color="auto"/>
        <w:right w:val="none" w:sz="0" w:space="0" w:color="auto"/>
      </w:divBdr>
    </w:div>
    <w:div w:id="1937708926">
      <w:bodyDiv w:val="1"/>
      <w:marLeft w:val="0"/>
      <w:marRight w:val="0"/>
      <w:marTop w:val="0"/>
      <w:marBottom w:val="0"/>
      <w:divBdr>
        <w:top w:val="none" w:sz="0" w:space="0" w:color="auto"/>
        <w:left w:val="none" w:sz="0" w:space="0" w:color="auto"/>
        <w:bottom w:val="none" w:sz="0" w:space="0" w:color="auto"/>
        <w:right w:val="none" w:sz="0" w:space="0" w:color="auto"/>
      </w:divBdr>
    </w:div>
    <w:div w:id="1940749870">
      <w:bodyDiv w:val="1"/>
      <w:marLeft w:val="0"/>
      <w:marRight w:val="0"/>
      <w:marTop w:val="0"/>
      <w:marBottom w:val="0"/>
      <w:divBdr>
        <w:top w:val="none" w:sz="0" w:space="0" w:color="auto"/>
        <w:left w:val="none" w:sz="0" w:space="0" w:color="auto"/>
        <w:bottom w:val="none" w:sz="0" w:space="0" w:color="auto"/>
        <w:right w:val="none" w:sz="0" w:space="0" w:color="auto"/>
      </w:divBdr>
    </w:div>
    <w:div w:id="1943495041">
      <w:bodyDiv w:val="1"/>
      <w:marLeft w:val="0"/>
      <w:marRight w:val="0"/>
      <w:marTop w:val="0"/>
      <w:marBottom w:val="0"/>
      <w:divBdr>
        <w:top w:val="none" w:sz="0" w:space="0" w:color="auto"/>
        <w:left w:val="none" w:sz="0" w:space="0" w:color="auto"/>
        <w:bottom w:val="none" w:sz="0" w:space="0" w:color="auto"/>
        <w:right w:val="none" w:sz="0" w:space="0" w:color="auto"/>
      </w:divBdr>
    </w:div>
    <w:div w:id="1952125904">
      <w:bodyDiv w:val="1"/>
      <w:marLeft w:val="0"/>
      <w:marRight w:val="0"/>
      <w:marTop w:val="0"/>
      <w:marBottom w:val="0"/>
      <w:divBdr>
        <w:top w:val="none" w:sz="0" w:space="0" w:color="auto"/>
        <w:left w:val="none" w:sz="0" w:space="0" w:color="auto"/>
        <w:bottom w:val="none" w:sz="0" w:space="0" w:color="auto"/>
        <w:right w:val="none" w:sz="0" w:space="0" w:color="auto"/>
      </w:divBdr>
    </w:div>
    <w:div w:id="1983122343">
      <w:bodyDiv w:val="1"/>
      <w:marLeft w:val="0"/>
      <w:marRight w:val="0"/>
      <w:marTop w:val="0"/>
      <w:marBottom w:val="0"/>
      <w:divBdr>
        <w:top w:val="none" w:sz="0" w:space="0" w:color="auto"/>
        <w:left w:val="none" w:sz="0" w:space="0" w:color="auto"/>
        <w:bottom w:val="none" w:sz="0" w:space="0" w:color="auto"/>
        <w:right w:val="none" w:sz="0" w:space="0" w:color="auto"/>
      </w:divBdr>
    </w:div>
    <w:div w:id="1986010088">
      <w:bodyDiv w:val="1"/>
      <w:marLeft w:val="0"/>
      <w:marRight w:val="0"/>
      <w:marTop w:val="0"/>
      <w:marBottom w:val="0"/>
      <w:divBdr>
        <w:top w:val="none" w:sz="0" w:space="0" w:color="auto"/>
        <w:left w:val="none" w:sz="0" w:space="0" w:color="auto"/>
        <w:bottom w:val="none" w:sz="0" w:space="0" w:color="auto"/>
        <w:right w:val="none" w:sz="0" w:space="0" w:color="auto"/>
      </w:divBdr>
    </w:div>
    <w:div w:id="1995257227">
      <w:bodyDiv w:val="1"/>
      <w:marLeft w:val="0"/>
      <w:marRight w:val="0"/>
      <w:marTop w:val="0"/>
      <w:marBottom w:val="0"/>
      <w:divBdr>
        <w:top w:val="none" w:sz="0" w:space="0" w:color="auto"/>
        <w:left w:val="none" w:sz="0" w:space="0" w:color="auto"/>
        <w:bottom w:val="none" w:sz="0" w:space="0" w:color="auto"/>
        <w:right w:val="none" w:sz="0" w:space="0" w:color="auto"/>
      </w:divBdr>
    </w:div>
    <w:div w:id="2001082908">
      <w:bodyDiv w:val="1"/>
      <w:marLeft w:val="0"/>
      <w:marRight w:val="0"/>
      <w:marTop w:val="0"/>
      <w:marBottom w:val="0"/>
      <w:divBdr>
        <w:top w:val="none" w:sz="0" w:space="0" w:color="auto"/>
        <w:left w:val="none" w:sz="0" w:space="0" w:color="auto"/>
        <w:bottom w:val="none" w:sz="0" w:space="0" w:color="auto"/>
        <w:right w:val="none" w:sz="0" w:space="0" w:color="auto"/>
      </w:divBdr>
    </w:div>
    <w:div w:id="2003387740">
      <w:bodyDiv w:val="1"/>
      <w:marLeft w:val="0"/>
      <w:marRight w:val="0"/>
      <w:marTop w:val="0"/>
      <w:marBottom w:val="0"/>
      <w:divBdr>
        <w:top w:val="none" w:sz="0" w:space="0" w:color="auto"/>
        <w:left w:val="none" w:sz="0" w:space="0" w:color="auto"/>
        <w:bottom w:val="none" w:sz="0" w:space="0" w:color="auto"/>
        <w:right w:val="none" w:sz="0" w:space="0" w:color="auto"/>
      </w:divBdr>
    </w:div>
    <w:div w:id="2006863119">
      <w:bodyDiv w:val="1"/>
      <w:marLeft w:val="0"/>
      <w:marRight w:val="0"/>
      <w:marTop w:val="0"/>
      <w:marBottom w:val="0"/>
      <w:divBdr>
        <w:top w:val="none" w:sz="0" w:space="0" w:color="auto"/>
        <w:left w:val="none" w:sz="0" w:space="0" w:color="auto"/>
        <w:bottom w:val="none" w:sz="0" w:space="0" w:color="auto"/>
        <w:right w:val="none" w:sz="0" w:space="0" w:color="auto"/>
      </w:divBdr>
      <w:divsChild>
        <w:div w:id="1323506596">
          <w:marLeft w:val="0"/>
          <w:marRight w:val="0"/>
          <w:marTop w:val="0"/>
          <w:marBottom w:val="0"/>
          <w:divBdr>
            <w:top w:val="none" w:sz="0" w:space="0" w:color="auto"/>
            <w:left w:val="none" w:sz="0" w:space="0" w:color="auto"/>
            <w:bottom w:val="none" w:sz="0" w:space="0" w:color="auto"/>
            <w:right w:val="none" w:sz="0" w:space="0" w:color="auto"/>
          </w:divBdr>
          <w:divsChild>
            <w:div w:id="4555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29">
      <w:bodyDiv w:val="1"/>
      <w:marLeft w:val="0"/>
      <w:marRight w:val="0"/>
      <w:marTop w:val="0"/>
      <w:marBottom w:val="0"/>
      <w:divBdr>
        <w:top w:val="none" w:sz="0" w:space="0" w:color="auto"/>
        <w:left w:val="none" w:sz="0" w:space="0" w:color="auto"/>
        <w:bottom w:val="none" w:sz="0" w:space="0" w:color="auto"/>
        <w:right w:val="none" w:sz="0" w:space="0" w:color="auto"/>
      </w:divBdr>
    </w:div>
    <w:div w:id="2069955026">
      <w:bodyDiv w:val="1"/>
      <w:marLeft w:val="0"/>
      <w:marRight w:val="0"/>
      <w:marTop w:val="0"/>
      <w:marBottom w:val="0"/>
      <w:divBdr>
        <w:top w:val="none" w:sz="0" w:space="0" w:color="auto"/>
        <w:left w:val="none" w:sz="0" w:space="0" w:color="auto"/>
        <w:bottom w:val="none" w:sz="0" w:space="0" w:color="auto"/>
        <w:right w:val="none" w:sz="0" w:space="0" w:color="auto"/>
      </w:divBdr>
    </w:div>
    <w:div w:id="2072845943">
      <w:bodyDiv w:val="1"/>
      <w:marLeft w:val="0"/>
      <w:marRight w:val="0"/>
      <w:marTop w:val="0"/>
      <w:marBottom w:val="0"/>
      <w:divBdr>
        <w:top w:val="none" w:sz="0" w:space="0" w:color="auto"/>
        <w:left w:val="none" w:sz="0" w:space="0" w:color="auto"/>
        <w:bottom w:val="none" w:sz="0" w:space="0" w:color="auto"/>
        <w:right w:val="none" w:sz="0" w:space="0" w:color="auto"/>
      </w:divBdr>
    </w:div>
    <w:div w:id="2090077090">
      <w:bodyDiv w:val="1"/>
      <w:marLeft w:val="0"/>
      <w:marRight w:val="0"/>
      <w:marTop w:val="0"/>
      <w:marBottom w:val="0"/>
      <w:divBdr>
        <w:top w:val="none" w:sz="0" w:space="0" w:color="auto"/>
        <w:left w:val="none" w:sz="0" w:space="0" w:color="auto"/>
        <w:bottom w:val="none" w:sz="0" w:space="0" w:color="auto"/>
        <w:right w:val="none" w:sz="0" w:space="0" w:color="auto"/>
      </w:divBdr>
    </w:div>
    <w:div w:id="2094357283">
      <w:bodyDiv w:val="1"/>
      <w:marLeft w:val="0"/>
      <w:marRight w:val="0"/>
      <w:marTop w:val="0"/>
      <w:marBottom w:val="0"/>
      <w:divBdr>
        <w:top w:val="none" w:sz="0" w:space="0" w:color="auto"/>
        <w:left w:val="none" w:sz="0" w:space="0" w:color="auto"/>
        <w:bottom w:val="none" w:sz="0" w:space="0" w:color="auto"/>
        <w:right w:val="none" w:sz="0" w:space="0" w:color="auto"/>
      </w:divBdr>
    </w:div>
    <w:div w:id="2100561137">
      <w:bodyDiv w:val="1"/>
      <w:marLeft w:val="0"/>
      <w:marRight w:val="0"/>
      <w:marTop w:val="0"/>
      <w:marBottom w:val="0"/>
      <w:divBdr>
        <w:top w:val="none" w:sz="0" w:space="0" w:color="auto"/>
        <w:left w:val="none" w:sz="0" w:space="0" w:color="auto"/>
        <w:bottom w:val="none" w:sz="0" w:space="0" w:color="auto"/>
        <w:right w:val="none" w:sz="0" w:space="0" w:color="auto"/>
      </w:divBdr>
      <w:divsChild>
        <w:div w:id="1256019724">
          <w:marLeft w:val="0"/>
          <w:marRight w:val="0"/>
          <w:marTop w:val="0"/>
          <w:marBottom w:val="0"/>
          <w:divBdr>
            <w:top w:val="none" w:sz="0" w:space="0" w:color="auto"/>
            <w:left w:val="none" w:sz="0" w:space="0" w:color="auto"/>
            <w:bottom w:val="none" w:sz="0" w:space="0" w:color="auto"/>
            <w:right w:val="none" w:sz="0" w:space="0" w:color="auto"/>
          </w:divBdr>
          <w:divsChild>
            <w:div w:id="1731536947">
              <w:marLeft w:val="336"/>
              <w:marRight w:val="0"/>
              <w:marTop w:val="120"/>
              <w:marBottom w:val="192"/>
              <w:divBdr>
                <w:top w:val="none" w:sz="0" w:space="0" w:color="auto"/>
                <w:left w:val="none" w:sz="0" w:space="0" w:color="auto"/>
                <w:bottom w:val="none" w:sz="0" w:space="0" w:color="auto"/>
                <w:right w:val="none" w:sz="0" w:space="0" w:color="auto"/>
              </w:divBdr>
              <w:divsChild>
                <w:div w:id="12676201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808620486">
          <w:marLeft w:val="0"/>
          <w:marRight w:val="0"/>
          <w:marTop w:val="0"/>
          <w:marBottom w:val="0"/>
          <w:divBdr>
            <w:top w:val="none" w:sz="0" w:space="0" w:color="auto"/>
            <w:left w:val="none" w:sz="0" w:space="0" w:color="auto"/>
            <w:bottom w:val="none" w:sz="0" w:space="0" w:color="auto"/>
            <w:right w:val="none" w:sz="0" w:space="0" w:color="auto"/>
          </w:divBdr>
        </w:div>
      </w:divsChild>
    </w:div>
    <w:div w:id="2111272178">
      <w:bodyDiv w:val="1"/>
      <w:marLeft w:val="0"/>
      <w:marRight w:val="0"/>
      <w:marTop w:val="0"/>
      <w:marBottom w:val="0"/>
      <w:divBdr>
        <w:top w:val="none" w:sz="0" w:space="0" w:color="auto"/>
        <w:left w:val="none" w:sz="0" w:space="0" w:color="auto"/>
        <w:bottom w:val="none" w:sz="0" w:space="0" w:color="auto"/>
        <w:right w:val="none" w:sz="0" w:space="0" w:color="auto"/>
      </w:divBdr>
    </w:div>
    <w:div w:id="2121487671">
      <w:bodyDiv w:val="1"/>
      <w:marLeft w:val="0"/>
      <w:marRight w:val="0"/>
      <w:marTop w:val="0"/>
      <w:marBottom w:val="0"/>
      <w:divBdr>
        <w:top w:val="none" w:sz="0" w:space="0" w:color="auto"/>
        <w:left w:val="none" w:sz="0" w:space="0" w:color="auto"/>
        <w:bottom w:val="none" w:sz="0" w:space="0" w:color="auto"/>
        <w:right w:val="none" w:sz="0" w:space="0" w:color="auto"/>
      </w:divBdr>
    </w:div>
    <w:div w:id="2128350172">
      <w:bodyDiv w:val="1"/>
      <w:marLeft w:val="0"/>
      <w:marRight w:val="0"/>
      <w:marTop w:val="0"/>
      <w:marBottom w:val="0"/>
      <w:divBdr>
        <w:top w:val="none" w:sz="0" w:space="0" w:color="auto"/>
        <w:left w:val="none" w:sz="0" w:space="0" w:color="auto"/>
        <w:bottom w:val="none" w:sz="0" w:space="0" w:color="auto"/>
        <w:right w:val="none" w:sz="0" w:space="0" w:color="auto"/>
      </w:divBdr>
    </w:div>
    <w:div w:id="2129156214">
      <w:bodyDiv w:val="1"/>
      <w:marLeft w:val="0"/>
      <w:marRight w:val="0"/>
      <w:marTop w:val="0"/>
      <w:marBottom w:val="0"/>
      <w:divBdr>
        <w:top w:val="none" w:sz="0" w:space="0" w:color="auto"/>
        <w:left w:val="none" w:sz="0" w:space="0" w:color="auto"/>
        <w:bottom w:val="none" w:sz="0" w:space="0" w:color="auto"/>
        <w:right w:val="none" w:sz="0" w:space="0" w:color="auto"/>
      </w:divBdr>
    </w:div>
    <w:div w:id="2140882070">
      <w:bodyDiv w:val="1"/>
      <w:marLeft w:val="0"/>
      <w:marRight w:val="0"/>
      <w:marTop w:val="0"/>
      <w:marBottom w:val="0"/>
      <w:divBdr>
        <w:top w:val="none" w:sz="0" w:space="0" w:color="auto"/>
        <w:left w:val="none" w:sz="0" w:space="0" w:color="auto"/>
        <w:bottom w:val="none" w:sz="0" w:space="0" w:color="auto"/>
        <w:right w:val="none" w:sz="0" w:space="0" w:color="auto"/>
      </w:divBdr>
    </w:div>
    <w:div w:id="2142306734">
      <w:bodyDiv w:val="1"/>
      <w:marLeft w:val="0"/>
      <w:marRight w:val="0"/>
      <w:marTop w:val="0"/>
      <w:marBottom w:val="0"/>
      <w:divBdr>
        <w:top w:val="none" w:sz="0" w:space="0" w:color="auto"/>
        <w:left w:val="none" w:sz="0" w:space="0" w:color="auto"/>
        <w:bottom w:val="none" w:sz="0" w:space="0" w:color="auto"/>
        <w:right w:val="none" w:sz="0" w:space="0" w:color="auto"/>
      </w:divBdr>
      <w:divsChild>
        <w:div w:id="885525627">
          <w:marLeft w:val="60"/>
          <w:marRight w:val="60"/>
          <w:marTop w:val="60"/>
          <w:marBottom w:val="60"/>
          <w:divBdr>
            <w:top w:val="none" w:sz="0" w:space="0" w:color="auto"/>
            <w:left w:val="none" w:sz="0" w:space="0" w:color="auto"/>
            <w:bottom w:val="none" w:sz="0" w:space="0" w:color="auto"/>
            <w:right w:val="none" w:sz="0" w:space="0" w:color="auto"/>
          </w:divBdr>
        </w:div>
        <w:div w:id="128739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8/Lei/L1169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bccrim.org.br/site/boletim/exibir_artigos.php?id=409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CEF26-7944-9C44-9D1D-7DE956BA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11379</Words>
  <Characters>61447</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DIREITO PENAL – Rogério Sanches</vt:lpstr>
    </vt:vector>
  </TitlesOfParts>
  <Company/>
  <LinksUpToDate>false</LinksUpToDate>
  <CharactersWithSpaces>72681</CharactersWithSpaces>
  <SharedDoc>false</SharedDoc>
  <HLinks>
    <vt:vector size="36" baseType="variant">
      <vt:variant>
        <vt:i4>983123</vt:i4>
      </vt:variant>
      <vt:variant>
        <vt:i4>15</vt:i4>
      </vt:variant>
      <vt:variant>
        <vt:i4>0</vt:i4>
      </vt:variant>
      <vt:variant>
        <vt:i4>5</vt:i4>
      </vt:variant>
      <vt:variant>
        <vt:lpwstr>https://pt.wikipedia.org/wiki/Boicote_aos_%C3%B4nibus_de_Montgomery</vt:lpwstr>
      </vt:variant>
      <vt:variant>
        <vt:lpwstr/>
      </vt:variant>
      <vt:variant>
        <vt:i4>5570618</vt:i4>
      </vt:variant>
      <vt:variant>
        <vt:i4>12</vt:i4>
      </vt:variant>
      <vt:variant>
        <vt:i4>0</vt:i4>
      </vt:variant>
      <vt:variant>
        <vt:i4>5</vt:i4>
      </vt:variant>
      <vt:variant>
        <vt:lpwstr>https://pt.wikipedia.org/wiki/Branco_(ra%C3%A7a)</vt:lpwstr>
      </vt:variant>
      <vt:variant>
        <vt:lpwstr/>
      </vt:variant>
      <vt:variant>
        <vt:i4>5832770</vt:i4>
      </vt:variant>
      <vt:variant>
        <vt:i4>9</vt:i4>
      </vt:variant>
      <vt:variant>
        <vt:i4>0</vt:i4>
      </vt:variant>
      <vt:variant>
        <vt:i4>5</vt:i4>
      </vt:variant>
      <vt:variant>
        <vt:lpwstr>https://pt.wikipedia.org/wiki/%C3%94nibus</vt:lpwstr>
      </vt:variant>
      <vt:variant>
        <vt:lpwstr/>
      </vt:variant>
      <vt:variant>
        <vt:i4>7077908</vt:i4>
      </vt:variant>
      <vt:variant>
        <vt:i4>6</vt:i4>
      </vt:variant>
      <vt:variant>
        <vt:i4>0</vt:i4>
      </vt:variant>
      <vt:variant>
        <vt:i4>5</vt:i4>
      </vt:variant>
      <vt:variant>
        <vt:lpwstr>https://pt.wikipedia.org/wiki/Estados_Unidos</vt:lpwstr>
      </vt:variant>
      <vt:variant>
        <vt:lpwstr/>
      </vt:variant>
      <vt:variant>
        <vt:i4>5439495</vt:i4>
      </vt:variant>
      <vt:variant>
        <vt:i4>3</vt:i4>
      </vt:variant>
      <vt:variant>
        <vt:i4>0</vt:i4>
      </vt:variant>
      <vt:variant>
        <vt:i4>5</vt:i4>
      </vt:variant>
      <vt:variant>
        <vt:lpwstr>https://pt.wikipedia.org/wiki/Negros</vt:lpwstr>
      </vt:variant>
      <vt:variant>
        <vt:lpwstr/>
      </vt:variant>
      <vt:variant>
        <vt:i4>6160388</vt:i4>
      </vt:variant>
      <vt:variant>
        <vt:i4>0</vt:i4>
      </vt:variant>
      <vt:variant>
        <vt:i4>0</vt:i4>
      </vt:variant>
      <vt:variant>
        <vt:i4>5</vt:i4>
      </vt:variant>
      <vt:variant>
        <vt:lpwstr>https://pt.wikipedia.org/wiki/Costura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DIREITO PENAL – Rogério Sanches</dc:title>
  <dc:subject/>
  <dc:creator>winxp</dc:creator>
  <cp:keywords/>
  <dc:description/>
  <cp:lastModifiedBy>Bruno Martinelli Scrignoli</cp:lastModifiedBy>
  <cp:revision>2</cp:revision>
  <cp:lastPrinted>2016-03-15T20:23:00Z</cp:lastPrinted>
  <dcterms:created xsi:type="dcterms:W3CDTF">2018-11-26T19:19:00Z</dcterms:created>
  <dcterms:modified xsi:type="dcterms:W3CDTF">2018-11-26T19:19:00Z</dcterms:modified>
</cp:coreProperties>
</file>