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3B" w:rsidRDefault="000D3431">
      <w:pPr>
        <w:rPr>
          <w:rFonts w:ascii="Bookman Old Style" w:hAnsi="Bookman Old Style"/>
          <w:sz w:val="26"/>
          <w:szCs w:val="26"/>
        </w:rPr>
      </w:pPr>
      <w:r>
        <w:rPr>
          <w:rFonts w:ascii="Bookman Old Style" w:hAnsi="Bookman Old Style"/>
          <w:sz w:val="26"/>
          <w:szCs w:val="26"/>
        </w:rPr>
        <w:t>ESTUDOS CURSO POPULAR DEFENSORIA PÚBLICA DPESP -2020</w:t>
      </w:r>
    </w:p>
    <w:p w:rsidR="000D3431" w:rsidRDefault="000D3431">
      <w:pPr>
        <w:rPr>
          <w:rFonts w:ascii="Bookman Old Style" w:hAnsi="Bookman Old Style"/>
          <w:sz w:val="26"/>
          <w:szCs w:val="26"/>
        </w:rPr>
      </w:pPr>
      <w:r>
        <w:rPr>
          <w:rFonts w:ascii="Bookman Old Style" w:hAnsi="Bookman Old Style"/>
          <w:sz w:val="26"/>
          <w:szCs w:val="26"/>
        </w:rPr>
        <w:t>PROCESSO PENAL</w:t>
      </w:r>
    </w:p>
    <w:p w:rsidR="000D3431" w:rsidRDefault="000D3431" w:rsidP="000D3431">
      <w:pPr>
        <w:jc w:val="both"/>
        <w:rPr>
          <w:rFonts w:ascii="Bookman Old Style" w:hAnsi="Bookman Old Style"/>
          <w:sz w:val="26"/>
          <w:szCs w:val="26"/>
        </w:rPr>
      </w:pPr>
      <w:r>
        <w:rPr>
          <w:rFonts w:ascii="Bookman Old Style" w:hAnsi="Bookman Old Style"/>
          <w:sz w:val="26"/>
          <w:szCs w:val="26"/>
        </w:rPr>
        <w:t>39. Prerrogativas e garantias dos defensores públicos relacionados com o processo penal. Lei orgânica nacional da DP e Lei orgânica da DPESP.</w:t>
      </w:r>
    </w:p>
    <w:p w:rsidR="000D3431" w:rsidRDefault="000D3431" w:rsidP="000D3431">
      <w:pPr>
        <w:pBdr>
          <w:bottom w:val="single" w:sz="12" w:space="1" w:color="auto"/>
        </w:pBdr>
        <w:jc w:val="both"/>
        <w:rPr>
          <w:rFonts w:ascii="Bookman Old Style" w:hAnsi="Bookman Old Style"/>
          <w:sz w:val="26"/>
          <w:szCs w:val="26"/>
        </w:rPr>
      </w:pPr>
      <w:r>
        <w:rPr>
          <w:rFonts w:ascii="Bookman Old Style" w:hAnsi="Bookman Old Style"/>
          <w:sz w:val="26"/>
          <w:szCs w:val="26"/>
        </w:rPr>
        <w:t>41. Assistência jurídica integral e gratuita. Aspectos processuais.</w:t>
      </w:r>
    </w:p>
    <w:p w:rsidR="000D3431" w:rsidRDefault="000D3431" w:rsidP="000D3431">
      <w:pPr>
        <w:jc w:val="both"/>
        <w:rPr>
          <w:rFonts w:ascii="Bookman Old Style" w:hAnsi="Bookman Old Style"/>
          <w:sz w:val="26"/>
          <w:szCs w:val="26"/>
        </w:rPr>
      </w:pPr>
    </w:p>
    <w:p w:rsidR="001E3AC9" w:rsidRPr="001E3AC9" w:rsidRDefault="000D3431" w:rsidP="000D3431">
      <w:pPr>
        <w:pStyle w:val="PargrafodaLista"/>
        <w:numPr>
          <w:ilvl w:val="0"/>
          <w:numId w:val="1"/>
        </w:numPr>
        <w:jc w:val="both"/>
        <w:rPr>
          <w:rFonts w:ascii="Bookman Old Style" w:hAnsi="Bookman Old Style"/>
          <w:b/>
          <w:sz w:val="26"/>
          <w:szCs w:val="26"/>
        </w:rPr>
      </w:pPr>
      <w:r w:rsidRPr="001E3AC9">
        <w:rPr>
          <w:rFonts w:ascii="Bookman Old Style" w:hAnsi="Bookman Old Style"/>
          <w:b/>
          <w:sz w:val="26"/>
          <w:szCs w:val="26"/>
        </w:rPr>
        <w:t>Garantias e prerrogativas.</w:t>
      </w:r>
    </w:p>
    <w:p w:rsidR="001E3AC9" w:rsidRDefault="001E3AC9" w:rsidP="001E3AC9">
      <w:pPr>
        <w:pStyle w:val="PargrafodaLista"/>
        <w:jc w:val="both"/>
        <w:rPr>
          <w:rFonts w:ascii="Bookman Old Style" w:hAnsi="Bookman Old Style"/>
          <w:sz w:val="26"/>
          <w:szCs w:val="26"/>
        </w:rPr>
      </w:pPr>
      <w:r>
        <w:rPr>
          <w:rFonts w:ascii="Bookman Old Style" w:hAnsi="Bookman Old Style"/>
          <w:sz w:val="26"/>
          <w:szCs w:val="26"/>
        </w:rPr>
        <w:t xml:space="preserve">Conceito. </w:t>
      </w:r>
    </w:p>
    <w:p w:rsidR="001E3AC9" w:rsidRDefault="001E3AC9" w:rsidP="001E3AC9">
      <w:pPr>
        <w:pStyle w:val="PargrafodaLista"/>
        <w:jc w:val="both"/>
        <w:rPr>
          <w:rFonts w:ascii="Bookman Old Style" w:hAnsi="Bookman Old Style"/>
          <w:sz w:val="26"/>
          <w:szCs w:val="26"/>
        </w:rPr>
      </w:pPr>
      <w:r>
        <w:rPr>
          <w:rFonts w:ascii="Bookman Old Style" w:hAnsi="Bookman Old Style"/>
          <w:sz w:val="26"/>
          <w:szCs w:val="26"/>
        </w:rPr>
        <w:t xml:space="preserve">Justificativas. </w:t>
      </w:r>
    </w:p>
    <w:p w:rsidR="001E3AC9" w:rsidRDefault="001E3AC9" w:rsidP="001E3AC9">
      <w:pPr>
        <w:pStyle w:val="PargrafodaLista"/>
        <w:jc w:val="both"/>
        <w:rPr>
          <w:rFonts w:ascii="Bookman Old Style" w:hAnsi="Bookman Old Style"/>
          <w:sz w:val="26"/>
          <w:szCs w:val="26"/>
        </w:rPr>
      </w:pPr>
      <w:r>
        <w:rPr>
          <w:rFonts w:ascii="Bookman Old Style" w:hAnsi="Bookman Old Style"/>
          <w:sz w:val="26"/>
          <w:szCs w:val="26"/>
        </w:rPr>
        <w:t xml:space="preserve">Natureza da nulidade. </w:t>
      </w:r>
    </w:p>
    <w:p w:rsidR="000D3431" w:rsidRDefault="001E3AC9" w:rsidP="001E3AC9">
      <w:pPr>
        <w:pStyle w:val="PargrafodaLista"/>
        <w:jc w:val="both"/>
        <w:rPr>
          <w:rFonts w:ascii="Bookman Old Style" w:hAnsi="Bookman Old Style"/>
          <w:sz w:val="26"/>
          <w:szCs w:val="26"/>
        </w:rPr>
      </w:pPr>
      <w:r>
        <w:rPr>
          <w:rFonts w:ascii="Bookman Old Style" w:hAnsi="Bookman Old Style"/>
          <w:sz w:val="26"/>
          <w:szCs w:val="26"/>
        </w:rPr>
        <w:t>Meios de impugnação.</w:t>
      </w:r>
    </w:p>
    <w:p w:rsidR="000D3431" w:rsidRDefault="000D3431" w:rsidP="000D3431">
      <w:pPr>
        <w:pStyle w:val="PargrafodaLista"/>
        <w:jc w:val="both"/>
        <w:rPr>
          <w:rFonts w:ascii="Bookman Old Style" w:hAnsi="Bookman Old Style"/>
          <w:sz w:val="26"/>
          <w:szCs w:val="26"/>
        </w:rPr>
      </w:pPr>
    </w:p>
    <w:p w:rsidR="000D3431" w:rsidRDefault="000D3431" w:rsidP="000D3431">
      <w:pPr>
        <w:pStyle w:val="PargrafodaLista"/>
        <w:spacing w:line="360" w:lineRule="auto"/>
        <w:ind w:left="0" w:firstLine="567"/>
        <w:jc w:val="both"/>
        <w:rPr>
          <w:rFonts w:ascii="Bookman Old Style" w:hAnsi="Bookman Old Style"/>
          <w:sz w:val="26"/>
          <w:szCs w:val="26"/>
        </w:rPr>
      </w:pPr>
      <w:r>
        <w:rPr>
          <w:rFonts w:ascii="Bookman Old Style" w:hAnsi="Bookman Old Style"/>
          <w:sz w:val="26"/>
          <w:szCs w:val="26"/>
        </w:rPr>
        <w:t xml:space="preserve">São ferramentas que possibilitam o bom exercício da função institucional. Não devem ser entendidas como privilégios, mas como meios necessários ao exercício eficiente do trabalho. Justificam-se pela </w:t>
      </w:r>
      <w:r w:rsidRPr="00823C40">
        <w:rPr>
          <w:rFonts w:ascii="Bookman Old Style" w:hAnsi="Bookman Old Style"/>
          <w:b/>
          <w:sz w:val="26"/>
          <w:szCs w:val="26"/>
        </w:rPr>
        <w:t>alta carga de trabalho, pela indeclinabilidade de causas e pela ainda falta de estrutura</w:t>
      </w:r>
      <w:r>
        <w:rPr>
          <w:rFonts w:ascii="Bookman Old Style" w:hAnsi="Bookman Old Style"/>
          <w:sz w:val="26"/>
          <w:szCs w:val="26"/>
        </w:rPr>
        <w:t xml:space="preserve"> em muitas Defensorias do país.</w:t>
      </w:r>
    </w:p>
    <w:p w:rsidR="000D3431" w:rsidRDefault="000D3431" w:rsidP="000D3431">
      <w:pPr>
        <w:pStyle w:val="PargrafodaLista"/>
        <w:spacing w:line="360" w:lineRule="auto"/>
        <w:ind w:left="0" w:firstLine="567"/>
        <w:jc w:val="both"/>
        <w:rPr>
          <w:rFonts w:ascii="Bookman Old Style" w:hAnsi="Bookman Old Style"/>
          <w:sz w:val="26"/>
          <w:szCs w:val="26"/>
        </w:rPr>
      </w:pPr>
      <w:r>
        <w:rPr>
          <w:rFonts w:ascii="Bookman Old Style" w:hAnsi="Bookman Old Style"/>
          <w:sz w:val="26"/>
          <w:szCs w:val="26"/>
        </w:rPr>
        <w:t xml:space="preserve">Diante disso, as disposições acerca do assunto devem ser encaradas como </w:t>
      </w:r>
      <w:r w:rsidRPr="00823C40">
        <w:rPr>
          <w:rFonts w:ascii="Bookman Old Style" w:hAnsi="Bookman Old Style"/>
          <w:b/>
          <w:sz w:val="26"/>
          <w:szCs w:val="26"/>
        </w:rPr>
        <w:t>normas de ordem pública</w:t>
      </w:r>
      <w:r>
        <w:rPr>
          <w:rFonts w:ascii="Bookman Old Style" w:hAnsi="Bookman Old Style"/>
          <w:sz w:val="26"/>
          <w:szCs w:val="26"/>
        </w:rPr>
        <w:t xml:space="preserve">, eis que </w:t>
      </w:r>
      <w:proofErr w:type="gramStart"/>
      <w:r>
        <w:rPr>
          <w:rFonts w:ascii="Bookman Old Style" w:hAnsi="Bookman Old Style"/>
          <w:sz w:val="26"/>
          <w:szCs w:val="26"/>
        </w:rPr>
        <w:t>garantem</w:t>
      </w:r>
      <w:proofErr w:type="gramEnd"/>
      <w:r>
        <w:rPr>
          <w:rFonts w:ascii="Bookman Old Style" w:hAnsi="Bookman Old Style"/>
          <w:sz w:val="26"/>
          <w:szCs w:val="26"/>
        </w:rPr>
        <w:t xml:space="preserve"> o devido processo legal, a paridade de armas e o efetivo acesso à justiça, direitos fundamentais encartados no artigo 5º da Constituição. </w:t>
      </w:r>
    </w:p>
    <w:p w:rsidR="000D3431" w:rsidRDefault="000D3431" w:rsidP="000D3431">
      <w:pPr>
        <w:pStyle w:val="PargrafodaLista"/>
        <w:spacing w:line="360" w:lineRule="auto"/>
        <w:ind w:left="0" w:firstLine="567"/>
        <w:jc w:val="both"/>
        <w:rPr>
          <w:rFonts w:ascii="Bookman Old Style" w:hAnsi="Bookman Old Style"/>
          <w:sz w:val="26"/>
          <w:szCs w:val="26"/>
        </w:rPr>
      </w:pPr>
      <w:r>
        <w:rPr>
          <w:rFonts w:ascii="Bookman Old Style" w:hAnsi="Bookman Old Style"/>
          <w:sz w:val="26"/>
          <w:szCs w:val="26"/>
        </w:rPr>
        <w:t xml:space="preserve">Portanto, a inobservância de tais disposições legais encana o processo de </w:t>
      </w:r>
      <w:r w:rsidRPr="00823C40">
        <w:rPr>
          <w:rFonts w:ascii="Bookman Old Style" w:hAnsi="Bookman Old Style"/>
          <w:b/>
          <w:sz w:val="26"/>
          <w:szCs w:val="26"/>
        </w:rPr>
        <w:t>nulidade absoluta</w:t>
      </w:r>
      <w:r w:rsidR="001E3AC9">
        <w:rPr>
          <w:rFonts w:ascii="Bookman Old Style" w:hAnsi="Bookman Old Style"/>
          <w:sz w:val="26"/>
          <w:szCs w:val="26"/>
        </w:rPr>
        <w:t xml:space="preserve">, gerando a necessidade de anulação e repetição dos atos praticados. Contudo, importante destacar que, mesmo em caso de nulidades absolutas, a jurisprudência vem reconhecendo a </w:t>
      </w:r>
      <w:r w:rsidR="001E3AC9" w:rsidRPr="00823C40">
        <w:rPr>
          <w:rFonts w:ascii="Bookman Old Style" w:hAnsi="Bookman Old Style"/>
          <w:b/>
          <w:sz w:val="26"/>
          <w:szCs w:val="26"/>
        </w:rPr>
        <w:t xml:space="preserve">necessidade de </w:t>
      </w:r>
      <w:r w:rsidR="001E3AC9" w:rsidRPr="00823C40">
        <w:rPr>
          <w:rFonts w:ascii="Bookman Old Style" w:hAnsi="Bookman Old Style"/>
          <w:b/>
          <w:sz w:val="26"/>
          <w:szCs w:val="26"/>
        </w:rPr>
        <w:lastRenderedPageBreak/>
        <w:t xml:space="preserve">demonstração de prejuízo </w:t>
      </w:r>
      <w:r w:rsidR="001E3AC9">
        <w:rPr>
          <w:rFonts w:ascii="Bookman Old Style" w:hAnsi="Bookman Old Style"/>
          <w:sz w:val="26"/>
          <w:szCs w:val="26"/>
        </w:rPr>
        <w:t>à defesa para decretação de nulidade de atos processuais.</w:t>
      </w:r>
    </w:p>
    <w:p w:rsidR="001E3AC9" w:rsidRPr="001E3AC9" w:rsidRDefault="001E3AC9" w:rsidP="000D3431">
      <w:pPr>
        <w:pStyle w:val="PargrafodaLista"/>
        <w:spacing w:line="360" w:lineRule="auto"/>
        <w:ind w:left="0" w:firstLine="567"/>
        <w:jc w:val="both"/>
        <w:rPr>
          <w:rFonts w:ascii="Bookman Old Style" w:hAnsi="Bookman Old Style"/>
          <w:i/>
          <w:sz w:val="26"/>
          <w:szCs w:val="26"/>
        </w:rPr>
      </w:pPr>
      <w:r>
        <w:rPr>
          <w:rFonts w:ascii="Bookman Old Style" w:hAnsi="Bookman Old Style"/>
          <w:sz w:val="26"/>
          <w:szCs w:val="26"/>
        </w:rPr>
        <w:t xml:space="preserve">Tecnicamente, quando a </w:t>
      </w:r>
      <w:r w:rsidRPr="00823C40">
        <w:rPr>
          <w:rFonts w:ascii="Bookman Old Style" w:hAnsi="Bookman Old Style"/>
          <w:b/>
          <w:sz w:val="26"/>
          <w:szCs w:val="26"/>
        </w:rPr>
        <w:t>inobservância de uma garantia</w:t>
      </w:r>
      <w:r>
        <w:rPr>
          <w:rFonts w:ascii="Bookman Old Style" w:hAnsi="Bookman Old Style"/>
          <w:sz w:val="26"/>
          <w:szCs w:val="26"/>
        </w:rPr>
        <w:t xml:space="preserve"> ou prerrogativa está presente em uma decisão não recorrível, o meio a ser utilizado para suscitá-la é o </w:t>
      </w:r>
      <w:r w:rsidRPr="00823C40">
        <w:rPr>
          <w:rFonts w:ascii="Bookman Old Style" w:hAnsi="Bookman Old Style"/>
          <w:b/>
          <w:sz w:val="26"/>
          <w:szCs w:val="26"/>
        </w:rPr>
        <w:t>mandado de segurança</w:t>
      </w:r>
      <w:r>
        <w:rPr>
          <w:rFonts w:ascii="Bookman Old Style" w:hAnsi="Bookman Old Style"/>
          <w:sz w:val="26"/>
          <w:szCs w:val="26"/>
        </w:rPr>
        <w:t xml:space="preserve">, tendo em vista a violação a direito líquido e certo. Igualmente, caso se trate de caso em que a liberdade de locomoção do réu esteja em perigo, também será </w:t>
      </w:r>
      <w:r w:rsidRPr="00823C40">
        <w:rPr>
          <w:rFonts w:ascii="Bookman Old Style" w:hAnsi="Bookman Old Style"/>
          <w:b/>
          <w:sz w:val="26"/>
          <w:szCs w:val="26"/>
        </w:rPr>
        <w:t xml:space="preserve">possível a utilização do </w:t>
      </w:r>
      <w:r w:rsidRPr="00823C40">
        <w:rPr>
          <w:rFonts w:ascii="Bookman Old Style" w:hAnsi="Bookman Old Style"/>
          <w:b/>
          <w:i/>
          <w:sz w:val="26"/>
          <w:szCs w:val="26"/>
        </w:rPr>
        <w:t>Habeas Corpus.</w:t>
      </w:r>
    </w:p>
    <w:p w:rsidR="001E3AC9" w:rsidRDefault="001E3AC9" w:rsidP="000D3431">
      <w:pPr>
        <w:pStyle w:val="PargrafodaLista"/>
        <w:spacing w:line="360" w:lineRule="auto"/>
        <w:ind w:left="0" w:firstLine="567"/>
        <w:jc w:val="both"/>
        <w:rPr>
          <w:rFonts w:ascii="Bookman Old Style" w:hAnsi="Bookman Old Style"/>
          <w:sz w:val="26"/>
          <w:szCs w:val="26"/>
        </w:rPr>
      </w:pPr>
      <w:r>
        <w:rPr>
          <w:rFonts w:ascii="Bookman Old Style" w:hAnsi="Bookman Old Style"/>
          <w:sz w:val="26"/>
          <w:szCs w:val="26"/>
        </w:rPr>
        <w:t xml:space="preserve">Contudo, caso o desrespeito venha em uma decisão recorrível, o melhor a se fazer é utilizar o </w:t>
      </w:r>
      <w:r w:rsidRPr="00823C40">
        <w:rPr>
          <w:rFonts w:ascii="Bookman Old Style" w:hAnsi="Bookman Old Style"/>
          <w:b/>
          <w:sz w:val="26"/>
          <w:szCs w:val="26"/>
        </w:rPr>
        <w:t>recurso cabível</w:t>
      </w:r>
      <w:r>
        <w:rPr>
          <w:rFonts w:ascii="Bookman Old Style" w:hAnsi="Bookman Old Style"/>
          <w:sz w:val="26"/>
          <w:szCs w:val="26"/>
        </w:rPr>
        <w:t xml:space="preserve">, trazendo a questão da violação à garantia ou prerrogativa como uma </w:t>
      </w:r>
      <w:r w:rsidRPr="00823C40">
        <w:rPr>
          <w:rFonts w:ascii="Bookman Old Style" w:hAnsi="Bookman Old Style"/>
          <w:b/>
          <w:sz w:val="26"/>
          <w:szCs w:val="26"/>
        </w:rPr>
        <w:t>preliminar de mérito</w:t>
      </w:r>
      <w:r w:rsidR="0093193D">
        <w:rPr>
          <w:rFonts w:ascii="Bookman Old Style" w:hAnsi="Bookman Old Style"/>
          <w:sz w:val="26"/>
          <w:szCs w:val="26"/>
        </w:rPr>
        <w:t xml:space="preserve">. Aliás, caso essa inobservância tenha ocorrido durante o processo, nada impede sua alegação em sede de apelação, pois, como vimos, trata-se de nulidade absoluta, insanável, portanto. Devemos nos lembrar de demonstrar o prejuízo, conforme exigido pela jurisprudência. </w:t>
      </w:r>
    </w:p>
    <w:p w:rsidR="0093193D" w:rsidRDefault="0093193D" w:rsidP="000D3431">
      <w:pPr>
        <w:pStyle w:val="PargrafodaLista"/>
        <w:spacing w:line="360" w:lineRule="auto"/>
        <w:ind w:left="0" w:firstLine="567"/>
        <w:jc w:val="both"/>
        <w:rPr>
          <w:rFonts w:ascii="Bookman Old Style" w:hAnsi="Bookman Old Style"/>
          <w:sz w:val="26"/>
          <w:szCs w:val="26"/>
        </w:rPr>
      </w:pPr>
    </w:p>
    <w:p w:rsidR="0093193D" w:rsidRDefault="0093193D" w:rsidP="0093193D">
      <w:pPr>
        <w:pStyle w:val="PargrafodaLista"/>
        <w:numPr>
          <w:ilvl w:val="0"/>
          <w:numId w:val="2"/>
        </w:numPr>
        <w:spacing w:line="360" w:lineRule="auto"/>
        <w:jc w:val="both"/>
        <w:rPr>
          <w:rFonts w:ascii="Bookman Old Style" w:hAnsi="Bookman Old Style"/>
          <w:b/>
          <w:sz w:val="26"/>
          <w:szCs w:val="26"/>
        </w:rPr>
      </w:pPr>
      <w:r w:rsidRPr="0093193D">
        <w:rPr>
          <w:rFonts w:ascii="Bookman Old Style" w:hAnsi="Bookman Old Style"/>
          <w:b/>
          <w:sz w:val="26"/>
          <w:szCs w:val="26"/>
        </w:rPr>
        <w:t>Independência Funcional.</w:t>
      </w:r>
    </w:p>
    <w:p w:rsidR="0093193D" w:rsidRDefault="00456559" w:rsidP="00456559">
      <w:pPr>
        <w:spacing w:line="360" w:lineRule="auto"/>
        <w:ind w:firstLine="567"/>
        <w:jc w:val="both"/>
        <w:rPr>
          <w:rFonts w:ascii="Bookman Old Style" w:hAnsi="Bookman Old Style"/>
          <w:sz w:val="26"/>
          <w:szCs w:val="26"/>
        </w:rPr>
      </w:pPr>
      <w:r>
        <w:rPr>
          <w:rFonts w:ascii="Bookman Old Style" w:hAnsi="Bookman Old Style"/>
          <w:sz w:val="26"/>
          <w:szCs w:val="26"/>
        </w:rPr>
        <w:t>Previsões legais: a</w:t>
      </w:r>
      <w:r w:rsidR="0093193D">
        <w:rPr>
          <w:rFonts w:ascii="Bookman Old Style" w:hAnsi="Bookman Old Style"/>
          <w:sz w:val="26"/>
          <w:szCs w:val="26"/>
        </w:rPr>
        <w:t xml:space="preserve">rt. 134, §4º, CF; </w:t>
      </w:r>
      <w:r>
        <w:rPr>
          <w:rFonts w:ascii="Bookman Old Style" w:hAnsi="Bookman Old Style"/>
          <w:sz w:val="26"/>
          <w:szCs w:val="26"/>
        </w:rPr>
        <w:t>art. 3º, LC 80/19</w:t>
      </w:r>
      <w:r w:rsidR="00DD02A2">
        <w:rPr>
          <w:rFonts w:ascii="Bookman Old Style" w:hAnsi="Bookman Old Style"/>
          <w:sz w:val="26"/>
          <w:szCs w:val="26"/>
        </w:rPr>
        <w:t>94; art. 160, I, LC 988/2006 SP; artigos 43, I, 88, I,</w:t>
      </w:r>
      <w:r w:rsidR="00050F15">
        <w:rPr>
          <w:rFonts w:ascii="Bookman Old Style" w:hAnsi="Bookman Old Style"/>
          <w:sz w:val="26"/>
          <w:szCs w:val="26"/>
        </w:rPr>
        <w:t xml:space="preserve"> 127, I, LC 80/1994.</w:t>
      </w:r>
    </w:p>
    <w:p w:rsidR="00456559" w:rsidRDefault="00456559" w:rsidP="00456559">
      <w:pPr>
        <w:spacing w:line="360" w:lineRule="auto"/>
        <w:ind w:firstLine="567"/>
        <w:jc w:val="both"/>
        <w:rPr>
          <w:rFonts w:ascii="Bookman Old Style" w:hAnsi="Bookman Old Style"/>
          <w:sz w:val="26"/>
          <w:szCs w:val="26"/>
        </w:rPr>
      </w:pPr>
      <w:r>
        <w:rPr>
          <w:rFonts w:ascii="Bookman Old Style" w:hAnsi="Bookman Old Style"/>
          <w:sz w:val="26"/>
          <w:szCs w:val="26"/>
        </w:rPr>
        <w:t>Trata-se de garantia do defensor público de cumprir a missão institucional do Órgão conforme dita sua consciência jurídica sobre a Constituição e a lei, desde que de forma fundamentada. Não se trata de carta branca para atuar como quiser, mas de liberdade para adotar o caminho que considerar mais eficiente para cumprir as missões institucionais, livre de pressões internas ou externas.</w:t>
      </w:r>
    </w:p>
    <w:p w:rsidR="006706AC" w:rsidRDefault="00456559" w:rsidP="00456559">
      <w:pPr>
        <w:spacing w:line="360" w:lineRule="auto"/>
        <w:ind w:firstLine="567"/>
        <w:jc w:val="both"/>
        <w:rPr>
          <w:rFonts w:ascii="Bookman Old Style" w:hAnsi="Bookman Old Style"/>
          <w:sz w:val="26"/>
          <w:szCs w:val="26"/>
        </w:rPr>
      </w:pPr>
      <w:r>
        <w:rPr>
          <w:rFonts w:ascii="Bookman Old Style" w:hAnsi="Bookman Old Style"/>
          <w:sz w:val="26"/>
          <w:szCs w:val="26"/>
        </w:rPr>
        <w:t xml:space="preserve">Dessa forma, a atuação de forma desvinculada dos fins institucionais obviamente não se encontra sob o manto da </w:t>
      </w:r>
      <w:r>
        <w:rPr>
          <w:rFonts w:ascii="Bookman Old Style" w:hAnsi="Bookman Old Style"/>
          <w:sz w:val="26"/>
          <w:szCs w:val="26"/>
        </w:rPr>
        <w:lastRenderedPageBreak/>
        <w:t xml:space="preserve">independência funcional, sendo passível de punições administrativas. </w:t>
      </w:r>
    </w:p>
    <w:p w:rsidR="00456559" w:rsidRDefault="00456559" w:rsidP="00456559">
      <w:pPr>
        <w:spacing w:line="360" w:lineRule="auto"/>
        <w:ind w:firstLine="567"/>
        <w:jc w:val="both"/>
        <w:rPr>
          <w:rFonts w:ascii="Bookman Old Style" w:hAnsi="Bookman Old Style"/>
          <w:sz w:val="26"/>
          <w:szCs w:val="26"/>
        </w:rPr>
      </w:pPr>
      <w:r>
        <w:rPr>
          <w:rFonts w:ascii="Bookman Old Style" w:hAnsi="Bookman Old Style"/>
          <w:sz w:val="26"/>
          <w:szCs w:val="26"/>
        </w:rPr>
        <w:t>Podemos exemplificar com o caso recente na DPU</w:t>
      </w:r>
      <w:r w:rsidR="006706AC">
        <w:rPr>
          <w:rFonts w:ascii="Bookman Old Style" w:hAnsi="Bookman Old Style"/>
          <w:sz w:val="26"/>
          <w:szCs w:val="26"/>
        </w:rPr>
        <w:t>, em que um defensor ingressou com ACP</w:t>
      </w:r>
      <w:r>
        <w:rPr>
          <w:rFonts w:ascii="Bookman Old Style" w:hAnsi="Bookman Old Style"/>
          <w:sz w:val="26"/>
          <w:szCs w:val="26"/>
        </w:rPr>
        <w:t xml:space="preserve"> </w:t>
      </w:r>
      <w:r w:rsidR="006706AC">
        <w:rPr>
          <w:rFonts w:ascii="Bookman Old Style" w:hAnsi="Bookman Old Style"/>
          <w:sz w:val="26"/>
          <w:szCs w:val="26"/>
        </w:rPr>
        <w:t>contra programa de contratação de negros em uma empresa privada. Trata-se de medida que vai contra os fins institucionais da Defensoria de proteção de vulneráveis, entre os quais, se encontra a população negra.</w:t>
      </w:r>
    </w:p>
    <w:p w:rsidR="006706AC" w:rsidRDefault="006706AC" w:rsidP="00456559">
      <w:pPr>
        <w:spacing w:line="360" w:lineRule="auto"/>
        <w:ind w:firstLine="567"/>
        <w:jc w:val="both"/>
        <w:rPr>
          <w:rFonts w:ascii="Bookman Old Style" w:hAnsi="Bookman Old Style"/>
          <w:sz w:val="26"/>
          <w:szCs w:val="26"/>
        </w:rPr>
      </w:pPr>
      <w:r>
        <w:rPr>
          <w:rFonts w:ascii="Bookman Old Style" w:hAnsi="Bookman Old Style"/>
          <w:sz w:val="26"/>
          <w:szCs w:val="26"/>
        </w:rPr>
        <w:t>Especificamente no processo penal, a independência funcional é relevante na análise de recursos bipartidos em interposição do termo de recurso e oferecimento das razões recursais. Em síntese, são a apelação e o RESE (artigos 588 e 600 do CPP). Lembrando que, no âmbito dos Juizados Especiais, a apelação é oferecida em uma só peça (artigo 82, º1º, da Lei n. 9099/95).</w:t>
      </w:r>
    </w:p>
    <w:p w:rsidR="006706AC" w:rsidRDefault="006706AC" w:rsidP="00456559">
      <w:pPr>
        <w:spacing w:line="360" w:lineRule="auto"/>
        <w:ind w:firstLine="567"/>
        <w:jc w:val="both"/>
        <w:rPr>
          <w:rFonts w:ascii="Bookman Old Style" w:hAnsi="Bookman Old Style"/>
          <w:sz w:val="26"/>
          <w:szCs w:val="26"/>
        </w:rPr>
      </w:pPr>
      <w:r>
        <w:rPr>
          <w:rFonts w:ascii="Bookman Old Style" w:hAnsi="Bookman Old Style"/>
          <w:sz w:val="26"/>
          <w:szCs w:val="26"/>
        </w:rPr>
        <w:t>O que ocorre se há mudança do defensor atuante no processo entre essas fases?</w:t>
      </w:r>
    </w:p>
    <w:p w:rsidR="006706AC" w:rsidRDefault="006706AC" w:rsidP="00456559">
      <w:pPr>
        <w:spacing w:line="360" w:lineRule="auto"/>
        <w:ind w:firstLine="567"/>
        <w:jc w:val="both"/>
        <w:rPr>
          <w:rFonts w:ascii="Bookman Old Style" w:hAnsi="Bookman Old Style"/>
          <w:sz w:val="26"/>
          <w:szCs w:val="26"/>
        </w:rPr>
      </w:pPr>
      <w:r>
        <w:rPr>
          <w:rFonts w:ascii="Bookman Old Style" w:hAnsi="Bookman Old Style"/>
          <w:sz w:val="26"/>
          <w:szCs w:val="26"/>
        </w:rPr>
        <w:t xml:space="preserve">1ª </w:t>
      </w:r>
      <w:proofErr w:type="gramStart"/>
      <w:r>
        <w:rPr>
          <w:rFonts w:ascii="Bookman Old Style" w:hAnsi="Bookman Old Style"/>
          <w:sz w:val="26"/>
          <w:szCs w:val="26"/>
        </w:rPr>
        <w:t>hipótese)</w:t>
      </w:r>
      <w:proofErr w:type="gramEnd"/>
      <w:r w:rsidR="004936DC">
        <w:rPr>
          <w:rFonts w:ascii="Bookman Old Style" w:hAnsi="Bookman Old Style"/>
          <w:sz w:val="26"/>
          <w:szCs w:val="26"/>
        </w:rPr>
        <w:t xml:space="preserve"> </w:t>
      </w:r>
      <w:r w:rsidR="004936DC" w:rsidRPr="00823C40">
        <w:rPr>
          <w:rFonts w:ascii="Bookman Old Style" w:hAnsi="Bookman Old Style"/>
          <w:b/>
          <w:sz w:val="26"/>
          <w:szCs w:val="26"/>
        </w:rPr>
        <w:t>Novo defensor não concorda com o recurso, mas sim com a sentença condenatória ou absolutória imprópria</w:t>
      </w:r>
      <w:r w:rsidR="004936DC">
        <w:rPr>
          <w:rFonts w:ascii="Bookman Old Style" w:hAnsi="Bookman Old Style"/>
          <w:sz w:val="26"/>
          <w:szCs w:val="26"/>
        </w:rPr>
        <w:t xml:space="preserve">. Aqui, acredito não haver aplicação da independência funcional para sustentar o não oferecimento de razões pelo defensor substituto. Isso porque, como vimos, ele deve agir movido pelas missões institucionais, entre as quais a de exercer a ampla defesa e o contraditório em todos os órgãos e instâncias (artigo 4º, inciso V, LC 80/1994). Acrescente-se o fato de inexistir a </w:t>
      </w:r>
      <w:r w:rsidR="004936DC">
        <w:rPr>
          <w:rFonts w:ascii="Bookman Old Style" w:hAnsi="Bookman Old Style"/>
          <w:i/>
          <w:sz w:val="26"/>
          <w:szCs w:val="26"/>
        </w:rPr>
        <w:t>reformatio in pejus</w:t>
      </w:r>
      <w:r w:rsidR="004936DC">
        <w:rPr>
          <w:rFonts w:ascii="Bookman Old Style" w:hAnsi="Bookman Old Style"/>
          <w:sz w:val="26"/>
          <w:szCs w:val="26"/>
        </w:rPr>
        <w:t xml:space="preserve"> em âmbito criminal, motivo pelo qual o oferecimento das razões em nada pode prejudicar o réu</w:t>
      </w:r>
      <w:r w:rsidR="00693A80">
        <w:rPr>
          <w:rFonts w:ascii="Bookman Old Style" w:hAnsi="Bookman Old Style"/>
          <w:sz w:val="26"/>
          <w:szCs w:val="26"/>
        </w:rPr>
        <w:t xml:space="preserve"> (artigo 617, CPP)</w:t>
      </w:r>
      <w:r w:rsidR="004936DC">
        <w:rPr>
          <w:rFonts w:ascii="Bookman Old Style" w:hAnsi="Bookman Old Style"/>
          <w:sz w:val="26"/>
          <w:szCs w:val="26"/>
        </w:rPr>
        <w:t xml:space="preserve">. Por fim, o efeito devolutivo da apelação é fixado pelo termo de interposição do recurso, subindo os autos com ou sem </w:t>
      </w:r>
      <w:r w:rsidR="004936DC">
        <w:rPr>
          <w:rFonts w:ascii="Bookman Old Style" w:hAnsi="Bookman Old Style"/>
          <w:sz w:val="26"/>
          <w:szCs w:val="26"/>
        </w:rPr>
        <w:lastRenderedPageBreak/>
        <w:t>razões (artigo 601, do CPP). Portanto, nada justifica a posição de o novo defensor não oferecer razões recursais.</w:t>
      </w:r>
    </w:p>
    <w:p w:rsidR="004936DC" w:rsidRDefault="004936DC" w:rsidP="00456559">
      <w:pPr>
        <w:spacing w:line="360" w:lineRule="auto"/>
        <w:ind w:firstLine="567"/>
        <w:jc w:val="both"/>
        <w:rPr>
          <w:rFonts w:ascii="Bookman Old Style" w:hAnsi="Bookman Old Style"/>
          <w:sz w:val="26"/>
          <w:szCs w:val="26"/>
        </w:rPr>
      </w:pPr>
      <w:r>
        <w:rPr>
          <w:rFonts w:ascii="Bookman Old Style" w:hAnsi="Bookman Old Style"/>
          <w:sz w:val="26"/>
          <w:szCs w:val="26"/>
        </w:rPr>
        <w:t xml:space="preserve">2ª </w:t>
      </w:r>
      <w:proofErr w:type="gramStart"/>
      <w:r>
        <w:rPr>
          <w:rFonts w:ascii="Bookman Old Style" w:hAnsi="Bookman Old Style"/>
          <w:sz w:val="26"/>
          <w:szCs w:val="26"/>
        </w:rPr>
        <w:t>hipótese)</w:t>
      </w:r>
      <w:proofErr w:type="gramEnd"/>
      <w:r w:rsidR="00693A80">
        <w:rPr>
          <w:rFonts w:ascii="Bookman Old Style" w:hAnsi="Bookman Old Style"/>
          <w:sz w:val="26"/>
          <w:szCs w:val="26"/>
        </w:rPr>
        <w:t xml:space="preserve"> </w:t>
      </w:r>
      <w:r w:rsidR="00693A80" w:rsidRPr="00823C40">
        <w:rPr>
          <w:rFonts w:ascii="Bookman Old Style" w:hAnsi="Bookman Old Style"/>
          <w:b/>
          <w:sz w:val="26"/>
          <w:szCs w:val="26"/>
        </w:rPr>
        <w:t>Novo defensor quer ampliar o objeto do recurso em sede de razões recursais.</w:t>
      </w:r>
      <w:r w:rsidR="00693A80">
        <w:rPr>
          <w:rFonts w:ascii="Bookman Old Style" w:hAnsi="Bookman Old Style"/>
          <w:sz w:val="26"/>
          <w:szCs w:val="26"/>
        </w:rPr>
        <w:t xml:space="preserve"> Como vimos, o efeito devolutivo do recurso é fixado no termo de interposição. Supondo que o defensor original fez o termo de interposição afirmando que não concordava apenas com o tempo de prisão fixado, mas o defensor substituto quer a absolvição do réu. Em razões, ele pode sustentar isso? Sim, pois, em favor do réu, o efeito devolutivo da apelação em âmbito criminal sempre é amplo. Nesse sentido, O Tribunal sempre pode conceder </w:t>
      </w:r>
      <w:r w:rsidR="00693A80">
        <w:rPr>
          <w:rFonts w:ascii="Bookman Old Style" w:hAnsi="Bookman Old Style"/>
          <w:i/>
          <w:sz w:val="26"/>
          <w:szCs w:val="26"/>
        </w:rPr>
        <w:t xml:space="preserve">HC </w:t>
      </w:r>
      <w:r w:rsidR="00693A80">
        <w:rPr>
          <w:rFonts w:ascii="Bookman Old Style" w:hAnsi="Bookman Old Style"/>
          <w:sz w:val="26"/>
          <w:szCs w:val="26"/>
        </w:rPr>
        <w:t>de ofício, nos termos do artigo 654, §2º, do CPP.</w:t>
      </w:r>
    </w:p>
    <w:p w:rsidR="00693A80" w:rsidRDefault="00693A80" w:rsidP="00693A80">
      <w:pPr>
        <w:pStyle w:val="PargrafodaLista"/>
        <w:numPr>
          <w:ilvl w:val="0"/>
          <w:numId w:val="2"/>
        </w:numPr>
        <w:spacing w:line="360" w:lineRule="auto"/>
        <w:jc w:val="both"/>
        <w:rPr>
          <w:rFonts w:ascii="Bookman Old Style" w:hAnsi="Bookman Old Style"/>
          <w:b/>
          <w:sz w:val="26"/>
          <w:szCs w:val="26"/>
        </w:rPr>
      </w:pPr>
      <w:r>
        <w:rPr>
          <w:rFonts w:ascii="Bookman Old Style" w:hAnsi="Bookman Old Style"/>
          <w:b/>
          <w:sz w:val="26"/>
          <w:szCs w:val="26"/>
        </w:rPr>
        <w:t>Indivisibilidade.</w:t>
      </w:r>
    </w:p>
    <w:p w:rsidR="00693A80" w:rsidRDefault="00693A80" w:rsidP="00050F15">
      <w:pPr>
        <w:spacing w:line="360" w:lineRule="auto"/>
        <w:ind w:firstLine="567"/>
        <w:jc w:val="both"/>
        <w:rPr>
          <w:rFonts w:ascii="Bookman Old Style" w:hAnsi="Bookman Old Style"/>
          <w:sz w:val="26"/>
          <w:szCs w:val="26"/>
        </w:rPr>
      </w:pPr>
      <w:r>
        <w:rPr>
          <w:rFonts w:ascii="Bookman Old Style" w:hAnsi="Bookman Old Style"/>
          <w:sz w:val="26"/>
          <w:szCs w:val="26"/>
        </w:rPr>
        <w:t xml:space="preserve">Previsão legal: </w:t>
      </w:r>
      <w:r w:rsidR="00600303">
        <w:rPr>
          <w:rFonts w:ascii="Bookman Old Style" w:hAnsi="Bookman Old Style"/>
          <w:sz w:val="26"/>
          <w:szCs w:val="26"/>
        </w:rPr>
        <w:t xml:space="preserve">art. 134, §4º, CF; </w:t>
      </w:r>
      <w:r>
        <w:rPr>
          <w:rFonts w:ascii="Bookman Old Style" w:hAnsi="Bookman Old Style"/>
          <w:sz w:val="26"/>
          <w:szCs w:val="26"/>
        </w:rPr>
        <w:t>art. 3º, LC 80/1994</w:t>
      </w:r>
      <w:r w:rsidR="00050F15">
        <w:rPr>
          <w:rFonts w:ascii="Bookman Old Style" w:hAnsi="Bookman Old Style"/>
          <w:sz w:val="26"/>
          <w:szCs w:val="26"/>
        </w:rPr>
        <w:t>; art. 4º, LC 988/2006</w:t>
      </w:r>
      <w:r w:rsidR="00600303">
        <w:rPr>
          <w:rFonts w:ascii="Bookman Old Style" w:hAnsi="Bookman Old Style"/>
          <w:sz w:val="26"/>
          <w:szCs w:val="26"/>
        </w:rPr>
        <w:t>.</w:t>
      </w:r>
    </w:p>
    <w:p w:rsidR="00600303" w:rsidRDefault="00600303" w:rsidP="00600303">
      <w:pPr>
        <w:spacing w:line="360" w:lineRule="auto"/>
        <w:ind w:firstLine="567"/>
        <w:jc w:val="both"/>
        <w:rPr>
          <w:rFonts w:ascii="Bookman Old Style" w:hAnsi="Bookman Old Style"/>
          <w:sz w:val="26"/>
          <w:szCs w:val="26"/>
        </w:rPr>
      </w:pPr>
      <w:r>
        <w:rPr>
          <w:rFonts w:ascii="Bookman Old Style" w:hAnsi="Bookman Old Style"/>
          <w:sz w:val="26"/>
          <w:szCs w:val="26"/>
        </w:rPr>
        <w:t xml:space="preserve">Todos os membros da Defensoria </w:t>
      </w:r>
      <w:r w:rsidRPr="00823C40">
        <w:rPr>
          <w:rFonts w:ascii="Bookman Old Style" w:hAnsi="Bookman Old Style"/>
          <w:b/>
          <w:sz w:val="26"/>
          <w:szCs w:val="26"/>
        </w:rPr>
        <w:t>presentam a Instituição</w:t>
      </w:r>
      <w:r>
        <w:rPr>
          <w:rFonts w:ascii="Bookman Old Style" w:hAnsi="Bookman Old Style"/>
          <w:sz w:val="26"/>
          <w:szCs w:val="26"/>
        </w:rPr>
        <w:t xml:space="preserve">, podendo substituir-se uns aos outros para dar continuidade aos trabalhos. A garantia se aplica no âmbito de cada Defensoria. Aliás, este é um dos motivos pelo qual o </w:t>
      </w:r>
      <w:r w:rsidRPr="00823C40">
        <w:rPr>
          <w:rFonts w:ascii="Bookman Old Style" w:hAnsi="Bookman Old Style"/>
          <w:b/>
          <w:sz w:val="26"/>
          <w:szCs w:val="26"/>
        </w:rPr>
        <w:t>vínculo</w:t>
      </w:r>
      <w:r>
        <w:rPr>
          <w:rFonts w:ascii="Bookman Old Style" w:hAnsi="Bookman Old Style"/>
          <w:sz w:val="26"/>
          <w:szCs w:val="26"/>
        </w:rPr>
        <w:t xml:space="preserve"> entre o Defensor e a parte que assiste é </w:t>
      </w:r>
      <w:r w:rsidRPr="00823C40">
        <w:rPr>
          <w:rFonts w:ascii="Bookman Old Style" w:hAnsi="Bookman Old Style"/>
          <w:b/>
          <w:sz w:val="26"/>
          <w:szCs w:val="26"/>
        </w:rPr>
        <w:t>público e institucional</w:t>
      </w:r>
      <w:r>
        <w:rPr>
          <w:rFonts w:ascii="Bookman Old Style" w:hAnsi="Bookman Old Style"/>
          <w:sz w:val="26"/>
          <w:szCs w:val="26"/>
        </w:rPr>
        <w:t>. Dessa forma, a parte não tem a faculdade de escolher</w:t>
      </w:r>
      <w:r w:rsidR="00C751F1">
        <w:rPr>
          <w:rFonts w:ascii="Bookman Old Style" w:hAnsi="Bookman Old Style"/>
          <w:sz w:val="26"/>
          <w:szCs w:val="26"/>
        </w:rPr>
        <w:t xml:space="preserve"> o defensor</w:t>
      </w:r>
      <w:r>
        <w:rPr>
          <w:rFonts w:ascii="Bookman Old Style" w:hAnsi="Bookman Old Style"/>
          <w:sz w:val="26"/>
          <w:szCs w:val="26"/>
        </w:rPr>
        <w:t xml:space="preserve"> ou de ser assistida sempre pelo mesmo defensor.</w:t>
      </w:r>
    </w:p>
    <w:p w:rsidR="00600303" w:rsidRDefault="00C751F1" w:rsidP="00600303">
      <w:pPr>
        <w:spacing w:line="360" w:lineRule="auto"/>
        <w:ind w:firstLine="567"/>
        <w:jc w:val="both"/>
        <w:rPr>
          <w:rFonts w:ascii="Bookman Old Style" w:hAnsi="Bookman Old Style"/>
          <w:sz w:val="26"/>
          <w:szCs w:val="26"/>
        </w:rPr>
      </w:pPr>
      <w:r>
        <w:rPr>
          <w:rFonts w:ascii="Bookman Old Style" w:hAnsi="Bookman Old Style"/>
          <w:sz w:val="26"/>
          <w:szCs w:val="26"/>
        </w:rPr>
        <w:t xml:space="preserve">Os </w:t>
      </w:r>
      <w:r w:rsidRPr="00823C40">
        <w:rPr>
          <w:rFonts w:ascii="Bookman Old Style" w:hAnsi="Bookman Old Style"/>
          <w:b/>
          <w:sz w:val="26"/>
          <w:szCs w:val="26"/>
        </w:rPr>
        <w:t>fins da Defensoria são os mesmos</w:t>
      </w:r>
      <w:r>
        <w:rPr>
          <w:rFonts w:ascii="Bookman Old Style" w:hAnsi="Bookman Old Style"/>
          <w:sz w:val="26"/>
          <w:szCs w:val="26"/>
        </w:rPr>
        <w:t xml:space="preserve">, ou seja, no âmbito de unidade, apesar de cada Defensoria ser autônoma administrativamente, no que </w:t>
      </w:r>
      <w:proofErr w:type="gramStart"/>
      <w:r>
        <w:rPr>
          <w:rFonts w:ascii="Bookman Old Style" w:hAnsi="Bookman Old Style"/>
          <w:sz w:val="26"/>
          <w:szCs w:val="26"/>
        </w:rPr>
        <w:t>diz</w:t>
      </w:r>
      <w:proofErr w:type="gramEnd"/>
      <w:r>
        <w:rPr>
          <w:rFonts w:ascii="Bookman Old Style" w:hAnsi="Bookman Old Style"/>
          <w:sz w:val="26"/>
          <w:szCs w:val="26"/>
        </w:rPr>
        <w:t xml:space="preserve"> respeito aos fins, todas convergem. Por isso, como todas as Defensorias seguem o mesmo fim, é possível que a DPU atue em Recursos Especiais e Extraordinários interpostos por Defensorias Estaduais, </w:t>
      </w:r>
      <w:r>
        <w:rPr>
          <w:rFonts w:ascii="Bookman Old Style" w:hAnsi="Bookman Old Style"/>
          <w:sz w:val="26"/>
          <w:szCs w:val="26"/>
        </w:rPr>
        <w:lastRenderedPageBreak/>
        <w:t>especialmente, quando estas não tenham representação junto aos Tribunais Superiores por falta de estrutura.</w:t>
      </w:r>
    </w:p>
    <w:p w:rsidR="00C751F1" w:rsidRDefault="00C751F1" w:rsidP="00600303">
      <w:pPr>
        <w:spacing w:line="360" w:lineRule="auto"/>
        <w:ind w:firstLine="567"/>
        <w:jc w:val="both"/>
        <w:rPr>
          <w:rFonts w:ascii="Bookman Old Style" w:hAnsi="Bookman Old Style"/>
          <w:sz w:val="26"/>
          <w:szCs w:val="26"/>
        </w:rPr>
      </w:pPr>
      <w:r>
        <w:rPr>
          <w:rFonts w:ascii="Bookman Old Style" w:hAnsi="Bookman Old Style"/>
          <w:sz w:val="26"/>
          <w:szCs w:val="26"/>
        </w:rPr>
        <w:t xml:space="preserve">Entretanto, se determinada Defensoria Estadual quiser atuar nos </w:t>
      </w:r>
      <w:r w:rsidRPr="00823C40">
        <w:rPr>
          <w:rFonts w:ascii="Bookman Old Style" w:hAnsi="Bookman Old Style"/>
          <w:b/>
          <w:sz w:val="26"/>
          <w:szCs w:val="26"/>
        </w:rPr>
        <w:t>Tribunais Superiores, isso é possível</w:t>
      </w:r>
      <w:r>
        <w:rPr>
          <w:rFonts w:ascii="Bookman Old Style" w:hAnsi="Bookman Old Style"/>
          <w:sz w:val="26"/>
          <w:szCs w:val="26"/>
        </w:rPr>
        <w:t xml:space="preserve"> no âmbito de sua autonomia funcional. Não existe proibição para tal. </w:t>
      </w:r>
    </w:p>
    <w:p w:rsidR="00543CEC" w:rsidRDefault="00C751F1" w:rsidP="00600303">
      <w:pPr>
        <w:spacing w:line="360" w:lineRule="auto"/>
        <w:ind w:firstLine="567"/>
        <w:jc w:val="both"/>
        <w:rPr>
          <w:rFonts w:ascii="Bookman Old Style" w:hAnsi="Bookman Old Style"/>
          <w:sz w:val="26"/>
          <w:szCs w:val="26"/>
        </w:rPr>
      </w:pPr>
      <w:r>
        <w:rPr>
          <w:rFonts w:ascii="Bookman Old Style" w:hAnsi="Bookman Old Style"/>
          <w:sz w:val="26"/>
          <w:szCs w:val="26"/>
        </w:rPr>
        <w:t xml:space="preserve">Igualmente, a indivisibilidade justifica a atuação de defensores distintos no primeiro e no segundo graus de jurisdição. Contudo, em respeito ao devido processo legal, ao acesso à justiça, à ampla defesa e ao contraditório, é possível ao defensor atuante no 1º grau requerer a realização de </w:t>
      </w:r>
      <w:r w:rsidRPr="00823C40">
        <w:rPr>
          <w:rFonts w:ascii="Bookman Old Style" w:hAnsi="Bookman Old Style"/>
          <w:b/>
          <w:sz w:val="26"/>
          <w:szCs w:val="26"/>
        </w:rPr>
        <w:t>sustentação oral</w:t>
      </w:r>
      <w:r w:rsidR="00543CEC">
        <w:rPr>
          <w:rFonts w:ascii="Bookman Old Style" w:hAnsi="Bookman Old Style"/>
          <w:sz w:val="26"/>
          <w:szCs w:val="26"/>
        </w:rPr>
        <w:t xml:space="preserve"> no julgamento de apelação, por exemplo. Nesse caso, o defensor deve ser intimado pessoalmente da data de julgamento para fazer a sustentação oral, </w:t>
      </w:r>
      <w:proofErr w:type="gramStart"/>
      <w:r w:rsidR="00543CEC">
        <w:rPr>
          <w:rFonts w:ascii="Bookman Old Style" w:hAnsi="Bookman Old Style"/>
          <w:sz w:val="26"/>
          <w:szCs w:val="26"/>
        </w:rPr>
        <w:t>sob pena</w:t>
      </w:r>
      <w:proofErr w:type="gramEnd"/>
      <w:r w:rsidR="00543CEC">
        <w:rPr>
          <w:rFonts w:ascii="Bookman Old Style" w:hAnsi="Bookman Old Style"/>
          <w:sz w:val="26"/>
          <w:szCs w:val="26"/>
        </w:rPr>
        <w:t xml:space="preserve"> de cerceamento de defesa.</w:t>
      </w:r>
    </w:p>
    <w:p w:rsidR="00C751F1" w:rsidRDefault="00543CEC" w:rsidP="00600303">
      <w:pPr>
        <w:spacing w:line="360" w:lineRule="auto"/>
        <w:ind w:firstLine="567"/>
        <w:jc w:val="both"/>
        <w:rPr>
          <w:rFonts w:ascii="Bookman Old Style" w:hAnsi="Bookman Old Style"/>
          <w:sz w:val="26"/>
          <w:szCs w:val="26"/>
        </w:rPr>
      </w:pPr>
      <w:r>
        <w:rPr>
          <w:rFonts w:ascii="Bookman Old Style" w:hAnsi="Bookman Old Style"/>
          <w:sz w:val="26"/>
          <w:szCs w:val="26"/>
        </w:rPr>
        <w:t xml:space="preserve">OBS: o julgamento de </w:t>
      </w:r>
      <w:r w:rsidRPr="00823C40">
        <w:rPr>
          <w:rFonts w:ascii="Bookman Old Style" w:hAnsi="Bookman Old Style"/>
          <w:b/>
          <w:sz w:val="26"/>
          <w:szCs w:val="26"/>
        </w:rPr>
        <w:t>HC não depende de inclusão em pauta</w:t>
      </w:r>
      <w:r>
        <w:rPr>
          <w:rFonts w:ascii="Bookman Old Style" w:hAnsi="Bookman Old Style"/>
          <w:sz w:val="26"/>
          <w:szCs w:val="26"/>
        </w:rPr>
        <w:t>. Nesse sentido, a intimação pessoal do defensor não é necessária se o julgamento do HC ocorrer na sessão seguinte. Entretanto, não sen</w:t>
      </w:r>
      <w:r w:rsidR="0081325E">
        <w:rPr>
          <w:rFonts w:ascii="Bookman Old Style" w:hAnsi="Bookman Old Style"/>
          <w:sz w:val="26"/>
          <w:szCs w:val="26"/>
        </w:rPr>
        <w:t>d</w:t>
      </w:r>
      <w:r>
        <w:rPr>
          <w:rFonts w:ascii="Bookman Old Style" w:hAnsi="Bookman Old Style"/>
          <w:sz w:val="26"/>
          <w:szCs w:val="26"/>
        </w:rPr>
        <w:t>o isso possível</w:t>
      </w:r>
      <w:r w:rsidR="0081325E">
        <w:rPr>
          <w:rFonts w:ascii="Bookman Old Style" w:hAnsi="Bookman Old Style"/>
          <w:sz w:val="26"/>
          <w:szCs w:val="26"/>
        </w:rPr>
        <w:t xml:space="preserve"> pelo volume de trabalho</w:t>
      </w:r>
      <w:r>
        <w:rPr>
          <w:rFonts w:ascii="Bookman Old Style" w:hAnsi="Bookman Old Style"/>
          <w:sz w:val="26"/>
          <w:szCs w:val="26"/>
        </w:rPr>
        <w:t>,</w:t>
      </w:r>
      <w:r w:rsidR="0081325E">
        <w:rPr>
          <w:rFonts w:ascii="Bookman Old Style" w:hAnsi="Bookman Old Style"/>
          <w:sz w:val="26"/>
          <w:szCs w:val="26"/>
        </w:rPr>
        <w:t xml:space="preserve"> o defensor deverá ser intimado pessoalmente da data em que ocorrerá o julgamento.</w:t>
      </w:r>
    </w:p>
    <w:p w:rsidR="0081325E" w:rsidRDefault="0081325E" w:rsidP="0081325E">
      <w:pPr>
        <w:pStyle w:val="PargrafodaLista"/>
        <w:numPr>
          <w:ilvl w:val="0"/>
          <w:numId w:val="2"/>
        </w:numPr>
        <w:spacing w:line="360" w:lineRule="auto"/>
        <w:jc w:val="both"/>
        <w:rPr>
          <w:rFonts w:ascii="Bookman Old Style" w:hAnsi="Bookman Old Style"/>
          <w:b/>
          <w:sz w:val="26"/>
          <w:szCs w:val="26"/>
        </w:rPr>
      </w:pPr>
      <w:r>
        <w:rPr>
          <w:rFonts w:ascii="Bookman Old Style" w:hAnsi="Bookman Old Style"/>
          <w:b/>
          <w:sz w:val="26"/>
          <w:szCs w:val="26"/>
        </w:rPr>
        <w:t>Inamovibilidade.</w:t>
      </w:r>
    </w:p>
    <w:p w:rsidR="0081325E" w:rsidRDefault="0081325E" w:rsidP="0081325E">
      <w:pPr>
        <w:spacing w:line="360" w:lineRule="auto"/>
        <w:ind w:firstLine="567"/>
        <w:jc w:val="both"/>
        <w:rPr>
          <w:rFonts w:ascii="Bookman Old Style" w:hAnsi="Bookman Old Style"/>
          <w:sz w:val="26"/>
          <w:szCs w:val="26"/>
        </w:rPr>
      </w:pPr>
      <w:r>
        <w:rPr>
          <w:rFonts w:ascii="Bookman Old Style" w:hAnsi="Bookman Old Style"/>
          <w:sz w:val="26"/>
          <w:szCs w:val="26"/>
        </w:rPr>
        <w:t>Previsão legal: artigo 134, §1º, CF; artigo 160, II, da LC 988/2006</w:t>
      </w:r>
      <w:r w:rsidR="00050F15">
        <w:rPr>
          <w:rFonts w:ascii="Bookman Old Style" w:hAnsi="Bookman Old Style"/>
          <w:sz w:val="26"/>
          <w:szCs w:val="26"/>
        </w:rPr>
        <w:t xml:space="preserve">; </w:t>
      </w:r>
      <w:r w:rsidR="00050F15" w:rsidRPr="00050F15">
        <w:rPr>
          <w:rFonts w:ascii="Bookman Old Style" w:hAnsi="Bookman Old Style"/>
          <w:sz w:val="26"/>
          <w:szCs w:val="26"/>
        </w:rPr>
        <w:t>artigos 43, I</w:t>
      </w:r>
      <w:r w:rsidR="00050F15">
        <w:rPr>
          <w:rFonts w:ascii="Bookman Old Style" w:hAnsi="Bookman Old Style"/>
          <w:sz w:val="26"/>
          <w:szCs w:val="26"/>
        </w:rPr>
        <w:t>I</w:t>
      </w:r>
      <w:r w:rsidR="00050F15" w:rsidRPr="00050F15">
        <w:rPr>
          <w:rFonts w:ascii="Bookman Old Style" w:hAnsi="Bookman Old Style"/>
          <w:sz w:val="26"/>
          <w:szCs w:val="26"/>
        </w:rPr>
        <w:t xml:space="preserve">, 88, </w:t>
      </w:r>
      <w:r w:rsidR="00050F15">
        <w:rPr>
          <w:rFonts w:ascii="Bookman Old Style" w:hAnsi="Bookman Old Style"/>
          <w:sz w:val="26"/>
          <w:szCs w:val="26"/>
        </w:rPr>
        <w:t>I</w:t>
      </w:r>
      <w:r w:rsidR="00050F15" w:rsidRPr="00050F15">
        <w:rPr>
          <w:rFonts w:ascii="Bookman Old Style" w:hAnsi="Bookman Old Style"/>
          <w:sz w:val="26"/>
          <w:szCs w:val="26"/>
        </w:rPr>
        <w:t>I, 127, I</w:t>
      </w:r>
      <w:r w:rsidR="00050F15">
        <w:rPr>
          <w:rFonts w:ascii="Bookman Old Style" w:hAnsi="Bookman Old Style"/>
          <w:sz w:val="26"/>
          <w:szCs w:val="26"/>
        </w:rPr>
        <w:t>I</w:t>
      </w:r>
      <w:r w:rsidR="00050F15" w:rsidRPr="00050F15">
        <w:rPr>
          <w:rFonts w:ascii="Bookman Old Style" w:hAnsi="Bookman Old Style"/>
          <w:sz w:val="26"/>
          <w:szCs w:val="26"/>
        </w:rPr>
        <w:t>, LC 80/1994</w:t>
      </w:r>
      <w:r>
        <w:rPr>
          <w:rFonts w:ascii="Bookman Old Style" w:hAnsi="Bookman Old Style"/>
          <w:sz w:val="26"/>
          <w:szCs w:val="26"/>
        </w:rPr>
        <w:t>.</w:t>
      </w:r>
    </w:p>
    <w:p w:rsidR="0081325E" w:rsidRDefault="0081325E" w:rsidP="0081325E">
      <w:pPr>
        <w:spacing w:line="360" w:lineRule="auto"/>
        <w:ind w:firstLine="567"/>
        <w:jc w:val="both"/>
        <w:rPr>
          <w:rFonts w:ascii="Bookman Old Style" w:hAnsi="Bookman Old Style"/>
          <w:sz w:val="26"/>
          <w:szCs w:val="26"/>
        </w:rPr>
      </w:pPr>
      <w:r>
        <w:rPr>
          <w:rFonts w:ascii="Bookman Old Style" w:hAnsi="Bookman Old Style"/>
          <w:sz w:val="26"/>
          <w:szCs w:val="26"/>
        </w:rPr>
        <w:t>Fora a hipótese de punição administrativa depois de devido procedimento administrativo disciplinar, o defensor não pode movido de suas funções sem sua expressa vontade. Trata-se de garantia para o exercício funcional livre de pressões internas da Instituição.</w:t>
      </w:r>
    </w:p>
    <w:p w:rsidR="0081325E" w:rsidRDefault="0081325E" w:rsidP="0081325E">
      <w:pPr>
        <w:spacing w:line="360" w:lineRule="auto"/>
        <w:ind w:firstLine="567"/>
        <w:jc w:val="both"/>
        <w:rPr>
          <w:rFonts w:ascii="Bookman Old Style" w:hAnsi="Bookman Old Style"/>
          <w:sz w:val="26"/>
          <w:szCs w:val="26"/>
        </w:rPr>
      </w:pPr>
      <w:r>
        <w:rPr>
          <w:rFonts w:ascii="Bookman Old Style" w:hAnsi="Bookman Old Style"/>
          <w:sz w:val="26"/>
          <w:szCs w:val="26"/>
        </w:rPr>
        <w:lastRenderedPageBreak/>
        <w:t xml:space="preserve">Nesse aspecto, existe uma observação importante sobre uma </w:t>
      </w:r>
      <w:r w:rsidRPr="00823C40">
        <w:rPr>
          <w:rFonts w:ascii="Bookman Old Style" w:hAnsi="Bookman Old Style"/>
          <w:b/>
          <w:sz w:val="26"/>
          <w:szCs w:val="26"/>
        </w:rPr>
        <w:t>forma enviesada de movimentação</w:t>
      </w:r>
      <w:r>
        <w:rPr>
          <w:rFonts w:ascii="Bookman Old Style" w:hAnsi="Bookman Old Style"/>
          <w:sz w:val="26"/>
          <w:szCs w:val="26"/>
        </w:rPr>
        <w:t>. Em vez de mover o defensor de lotação, mantém-se ele no mesmo lugar, mas são retiradas funções que pertenciam ao órgão em que atuava.</w:t>
      </w:r>
      <w:r w:rsidR="00D14408">
        <w:rPr>
          <w:rFonts w:ascii="Bookman Old Style" w:hAnsi="Bookman Old Style"/>
          <w:sz w:val="26"/>
          <w:szCs w:val="26"/>
        </w:rPr>
        <w:t xml:space="preserve"> Igualmente, tal prática é vedada, pois viola a inamovibilidade.</w:t>
      </w:r>
    </w:p>
    <w:p w:rsidR="00823C40" w:rsidRPr="00823C40" w:rsidRDefault="00D14408" w:rsidP="00823C40">
      <w:pPr>
        <w:pStyle w:val="PargrafodaLista"/>
        <w:numPr>
          <w:ilvl w:val="0"/>
          <w:numId w:val="2"/>
        </w:numPr>
        <w:spacing w:line="360" w:lineRule="auto"/>
        <w:jc w:val="both"/>
        <w:rPr>
          <w:rFonts w:ascii="Bookman Old Style" w:hAnsi="Bookman Old Style"/>
          <w:b/>
          <w:sz w:val="26"/>
          <w:szCs w:val="26"/>
        </w:rPr>
      </w:pPr>
      <w:r>
        <w:rPr>
          <w:rFonts w:ascii="Bookman Old Style" w:hAnsi="Bookman Old Style"/>
          <w:b/>
          <w:sz w:val="26"/>
          <w:szCs w:val="26"/>
        </w:rPr>
        <w:t>INTIMAÇÃO PESSOAL.</w:t>
      </w:r>
    </w:p>
    <w:p w:rsidR="00D14408" w:rsidRDefault="00D14408" w:rsidP="00D14408">
      <w:pPr>
        <w:spacing w:line="360" w:lineRule="auto"/>
        <w:ind w:firstLine="567"/>
        <w:jc w:val="both"/>
        <w:rPr>
          <w:rFonts w:ascii="Bookman Old Style" w:hAnsi="Bookman Old Style"/>
          <w:sz w:val="26"/>
          <w:szCs w:val="26"/>
        </w:rPr>
      </w:pPr>
      <w:r>
        <w:rPr>
          <w:rFonts w:ascii="Bookman Old Style" w:hAnsi="Bookman Old Style"/>
          <w:sz w:val="26"/>
          <w:szCs w:val="26"/>
        </w:rPr>
        <w:t>Previsão legal: artigo 44, I, LC 80/1994 (DPU); artigo 89, I, LC 80/1994 (DPDFT); artigo 128, I, LC 80/1994 (</w:t>
      </w:r>
      <w:proofErr w:type="spellStart"/>
      <w:r>
        <w:rPr>
          <w:rFonts w:ascii="Bookman Old Style" w:hAnsi="Bookman Old Style"/>
          <w:sz w:val="26"/>
          <w:szCs w:val="26"/>
        </w:rPr>
        <w:t>DPEs</w:t>
      </w:r>
      <w:proofErr w:type="spellEnd"/>
      <w:r>
        <w:rPr>
          <w:rFonts w:ascii="Bookman Old Style" w:hAnsi="Bookman Old Style"/>
          <w:sz w:val="26"/>
          <w:szCs w:val="26"/>
        </w:rPr>
        <w:t>); artigo 186, §1º, CPC; artigo 183, §1º, CPC.</w:t>
      </w:r>
    </w:p>
    <w:p w:rsidR="00D14408" w:rsidRDefault="00D14408" w:rsidP="00D14408">
      <w:pPr>
        <w:spacing w:line="360" w:lineRule="auto"/>
        <w:ind w:firstLine="567"/>
        <w:jc w:val="both"/>
        <w:rPr>
          <w:rFonts w:ascii="Bookman Old Style" w:hAnsi="Bookman Old Style"/>
          <w:sz w:val="26"/>
          <w:szCs w:val="26"/>
        </w:rPr>
      </w:pPr>
      <w:r>
        <w:rPr>
          <w:rFonts w:ascii="Bookman Old Style" w:hAnsi="Bookman Old Style"/>
          <w:sz w:val="26"/>
          <w:szCs w:val="26"/>
        </w:rPr>
        <w:t xml:space="preserve">A prerrogativa de intimação pessoal não envolve apenas a ciência sobre abertura de vista dos autos à Defensoria, abrangendo também a </w:t>
      </w:r>
      <w:r w:rsidRPr="00823C40">
        <w:rPr>
          <w:rFonts w:ascii="Bookman Old Style" w:hAnsi="Bookman Old Style"/>
          <w:b/>
          <w:sz w:val="26"/>
          <w:szCs w:val="26"/>
        </w:rPr>
        <w:t>remessa dos autos em carga</w:t>
      </w:r>
      <w:r>
        <w:rPr>
          <w:rFonts w:ascii="Bookman Old Style" w:hAnsi="Bookman Old Style"/>
          <w:sz w:val="26"/>
          <w:szCs w:val="26"/>
        </w:rPr>
        <w:t>. Dessa forma, a prerrogativa só é respeitada com o acesso efetivo do defensor aos autos.</w:t>
      </w:r>
    </w:p>
    <w:p w:rsidR="00DD02A2" w:rsidRDefault="00DD02A2" w:rsidP="00D14408">
      <w:pPr>
        <w:spacing w:line="360" w:lineRule="auto"/>
        <w:ind w:firstLine="567"/>
        <w:jc w:val="both"/>
        <w:rPr>
          <w:rFonts w:ascii="Bookman Old Style" w:hAnsi="Bookman Old Style"/>
          <w:sz w:val="26"/>
          <w:szCs w:val="26"/>
        </w:rPr>
      </w:pPr>
      <w:r>
        <w:rPr>
          <w:rFonts w:ascii="Bookman Old Style" w:hAnsi="Bookman Old Style"/>
          <w:sz w:val="26"/>
          <w:szCs w:val="26"/>
        </w:rPr>
        <w:t xml:space="preserve">Obviamente, no </w:t>
      </w:r>
      <w:r w:rsidRPr="00823C40">
        <w:rPr>
          <w:rFonts w:ascii="Bookman Old Style" w:hAnsi="Bookman Old Style"/>
          <w:b/>
          <w:sz w:val="26"/>
          <w:szCs w:val="26"/>
        </w:rPr>
        <w:t>processo eletrônico</w:t>
      </w:r>
      <w:r>
        <w:rPr>
          <w:rFonts w:ascii="Bookman Old Style" w:hAnsi="Bookman Old Style"/>
          <w:sz w:val="26"/>
          <w:szCs w:val="26"/>
        </w:rPr>
        <w:t>, a remessa física dos autos não existe, bastando estar disponível a consulta no meio eletrônico, com a respectiva abertura de vista. Lembrando que o defensor possui dez dias para abrir a intimação e começar a contar o prazo de manifestação (artigo 5º, Lei n. 11419/2006). Este prazo de dez dias não é contado em dobro, pois não há realização de nenhum ato processual, apenas abertura de vista, a partir de quando se conta em dobro o prazo para manifestação.</w:t>
      </w:r>
    </w:p>
    <w:p w:rsidR="00DD02A2" w:rsidRDefault="00DD02A2" w:rsidP="00D14408">
      <w:pPr>
        <w:spacing w:line="360" w:lineRule="auto"/>
        <w:ind w:firstLine="567"/>
        <w:jc w:val="both"/>
        <w:rPr>
          <w:rFonts w:ascii="Bookman Old Style" w:hAnsi="Bookman Old Style"/>
          <w:sz w:val="26"/>
          <w:szCs w:val="26"/>
        </w:rPr>
      </w:pPr>
      <w:r>
        <w:rPr>
          <w:rFonts w:ascii="Bookman Old Style" w:hAnsi="Bookman Old Style"/>
          <w:sz w:val="26"/>
          <w:szCs w:val="26"/>
        </w:rPr>
        <w:t xml:space="preserve">Quanto às normas previstas no </w:t>
      </w:r>
      <w:r w:rsidRPr="00823C40">
        <w:rPr>
          <w:rFonts w:ascii="Bookman Old Style" w:hAnsi="Bookman Old Style"/>
          <w:b/>
          <w:sz w:val="26"/>
          <w:szCs w:val="26"/>
        </w:rPr>
        <w:t>CPC, elas se aplicam ao CPP subsidiariamente</w:t>
      </w:r>
      <w:r>
        <w:rPr>
          <w:rFonts w:ascii="Bookman Old Style" w:hAnsi="Bookman Old Style"/>
          <w:sz w:val="26"/>
          <w:szCs w:val="26"/>
        </w:rPr>
        <w:t>, uma vez que em várias passagens trazem normas gerais sobre processo e não apenas de processo civil. Um exemplo é a disciplina sobre fundamentação de decisões, prevista no artigo 489, §1º, do CPC.</w:t>
      </w:r>
    </w:p>
    <w:p w:rsidR="00DD02A2" w:rsidRDefault="00DD02A2" w:rsidP="00D14408">
      <w:pPr>
        <w:spacing w:line="360" w:lineRule="auto"/>
        <w:ind w:firstLine="567"/>
        <w:jc w:val="both"/>
        <w:rPr>
          <w:rFonts w:ascii="Bookman Old Style" w:hAnsi="Bookman Old Style"/>
          <w:sz w:val="26"/>
          <w:szCs w:val="26"/>
        </w:rPr>
      </w:pPr>
      <w:r>
        <w:rPr>
          <w:rFonts w:ascii="Bookman Old Style" w:hAnsi="Bookman Old Style"/>
          <w:sz w:val="26"/>
          <w:szCs w:val="26"/>
        </w:rPr>
        <w:lastRenderedPageBreak/>
        <w:t xml:space="preserve">A abertura de vista ao </w:t>
      </w:r>
      <w:r w:rsidRPr="00823C40">
        <w:rPr>
          <w:rFonts w:ascii="Bookman Old Style" w:hAnsi="Bookman Old Style"/>
          <w:b/>
          <w:sz w:val="26"/>
          <w:szCs w:val="26"/>
        </w:rPr>
        <w:t>órgão errado da Defensoria</w:t>
      </w:r>
      <w:r>
        <w:rPr>
          <w:rFonts w:ascii="Bookman Old Style" w:hAnsi="Bookman Old Style"/>
          <w:sz w:val="26"/>
          <w:szCs w:val="26"/>
        </w:rPr>
        <w:t xml:space="preserve"> não faz iniciar nenhum prazo de manifestação. A vista deve ser aberta ao defensor com atribuição para o caso, em respeito à independência funcional. Caso aberta a vista ao órgão equivocado, o ato deve ser repetido com devolução do prazo de manifestação.</w:t>
      </w:r>
    </w:p>
    <w:p w:rsidR="00CB0D40" w:rsidRDefault="00CB0D40" w:rsidP="00D14408">
      <w:pPr>
        <w:spacing w:line="360" w:lineRule="auto"/>
        <w:ind w:firstLine="567"/>
        <w:jc w:val="both"/>
        <w:rPr>
          <w:rFonts w:ascii="Bookman Old Style" w:hAnsi="Bookman Old Style"/>
          <w:sz w:val="26"/>
          <w:szCs w:val="26"/>
        </w:rPr>
      </w:pPr>
      <w:r w:rsidRPr="00823C40">
        <w:rPr>
          <w:rFonts w:ascii="Bookman Old Style" w:hAnsi="Bookman Old Style"/>
          <w:b/>
          <w:sz w:val="26"/>
          <w:szCs w:val="26"/>
        </w:rPr>
        <w:t>Escritórios-modelo</w:t>
      </w:r>
      <w:r>
        <w:rPr>
          <w:rFonts w:ascii="Bookman Old Style" w:hAnsi="Bookman Old Style"/>
          <w:sz w:val="26"/>
          <w:szCs w:val="26"/>
        </w:rPr>
        <w:t xml:space="preserve"> de faculdades não possuem a prerrogativa de intimação pessoal, conforme determina o artigo 186, §3º, do CPC. No entanto, se forem nomeados como defensores dativos no processo penal pelo juízo, nesse caso, possuirão prerrogativa de intimação pessoal, nos termos do artigo 370, §4º, do CPP. </w:t>
      </w:r>
    </w:p>
    <w:p w:rsidR="00CB0D40" w:rsidRDefault="00CB0D40" w:rsidP="00D14408">
      <w:pPr>
        <w:spacing w:line="360" w:lineRule="auto"/>
        <w:ind w:firstLine="567"/>
        <w:jc w:val="both"/>
        <w:rPr>
          <w:rFonts w:ascii="Bookman Old Style" w:hAnsi="Bookman Old Style"/>
          <w:sz w:val="26"/>
          <w:szCs w:val="26"/>
        </w:rPr>
      </w:pPr>
      <w:r>
        <w:rPr>
          <w:rFonts w:ascii="Bookman Old Style" w:hAnsi="Bookman Old Style"/>
          <w:sz w:val="26"/>
          <w:szCs w:val="26"/>
        </w:rPr>
        <w:t xml:space="preserve">Esta prerrogativa dos </w:t>
      </w:r>
      <w:r w:rsidRPr="00823C40">
        <w:rPr>
          <w:rFonts w:ascii="Bookman Old Style" w:hAnsi="Bookman Old Style"/>
          <w:b/>
          <w:sz w:val="26"/>
          <w:szCs w:val="26"/>
        </w:rPr>
        <w:t>defensores dativos</w:t>
      </w:r>
      <w:r>
        <w:rPr>
          <w:rFonts w:ascii="Bookman Old Style" w:hAnsi="Bookman Old Style"/>
          <w:sz w:val="26"/>
          <w:szCs w:val="26"/>
        </w:rPr>
        <w:t xml:space="preserve"> de intimação pessoal não é a mesma aplicada aos defensores públicos. Para os dativos, basta </w:t>
      </w:r>
      <w:proofErr w:type="gramStart"/>
      <w:r>
        <w:rPr>
          <w:rFonts w:ascii="Bookman Old Style" w:hAnsi="Bookman Old Style"/>
          <w:sz w:val="26"/>
          <w:szCs w:val="26"/>
        </w:rPr>
        <w:t>a</w:t>
      </w:r>
      <w:proofErr w:type="gramEnd"/>
      <w:r>
        <w:rPr>
          <w:rFonts w:ascii="Bookman Old Style" w:hAnsi="Bookman Old Style"/>
          <w:sz w:val="26"/>
          <w:szCs w:val="26"/>
        </w:rPr>
        <w:t xml:space="preserve"> intimação pessoal por qualquer meio hábil (ex.: OJA ou carta), sem necessidade de carga ou remessa dos autos.</w:t>
      </w:r>
    </w:p>
    <w:p w:rsidR="00CB0D40" w:rsidRDefault="00CB0D40" w:rsidP="00D14408">
      <w:pPr>
        <w:spacing w:line="360" w:lineRule="auto"/>
        <w:ind w:firstLine="567"/>
        <w:jc w:val="both"/>
        <w:rPr>
          <w:rFonts w:ascii="Bookman Old Style" w:hAnsi="Bookman Old Style"/>
          <w:sz w:val="26"/>
          <w:szCs w:val="26"/>
        </w:rPr>
      </w:pPr>
      <w:r>
        <w:rPr>
          <w:rFonts w:ascii="Bookman Old Style" w:hAnsi="Bookman Old Style"/>
          <w:sz w:val="26"/>
          <w:szCs w:val="26"/>
        </w:rPr>
        <w:t xml:space="preserve">Quanto à prerrogativa de intimação pessoal, vale destacar ainda a regra descrita no </w:t>
      </w:r>
      <w:r w:rsidRPr="00823C40">
        <w:rPr>
          <w:rFonts w:ascii="Bookman Old Style" w:hAnsi="Bookman Old Style"/>
          <w:b/>
          <w:sz w:val="26"/>
          <w:szCs w:val="26"/>
        </w:rPr>
        <w:t>artigo 272, §6º, CPC</w:t>
      </w:r>
      <w:r>
        <w:rPr>
          <w:rFonts w:ascii="Bookman Old Style" w:hAnsi="Bookman Old Style"/>
          <w:sz w:val="26"/>
          <w:szCs w:val="26"/>
        </w:rPr>
        <w:t>, que determina a presunção absoluta de intimação de todos os atos realizados ao se realizar a carga nos autos. Assim, ainda que o defensor não tenha sido pessoalmente intimado de uma decisão recorrível anteriormente</w:t>
      </w:r>
      <w:r w:rsidR="00823C40">
        <w:rPr>
          <w:rFonts w:ascii="Bookman Old Style" w:hAnsi="Bookman Old Style"/>
          <w:sz w:val="26"/>
          <w:szCs w:val="26"/>
        </w:rPr>
        <w:t>, ao receber os autos por qualquer motivo posterior, presume-se intimado da decisão anterior, passando a contar o prazo recursal.</w:t>
      </w:r>
    </w:p>
    <w:p w:rsidR="00823C40" w:rsidRDefault="00823C40" w:rsidP="00D14408">
      <w:pPr>
        <w:spacing w:line="360" w:lineRule="auto"/>
        <w:ind w:firstLine="567"/>
        <w:jc w:val="both"/>
        <w:rPr>
          <w:rFonts w:ascii="Bookman Old Style" w:hAnsi="Bookman Old Style"/>
          <w:sz w:val="26"/>
          <w:szCs w:val="26"/>
        </w:rPr>
      </w:pPr>
      <w:r>
        <w:rPr>
          <w:rFonts w:ascii="Bookman Old Style" w:hAnsi="Bookman Old Style"/>
          <w:b/>
          <w:sz w:val="26"/>
          <w:szCs w:val="26"/>
        </w:rPr>
        <w:t xml:space="preserve">Juizados Especiais. </w:t>
      </w:r>
      <w:r>
        <w:rPr>
          <w:rFonts w:ascii="Bookman Old Style" w:hAnsi="Bookman Old Style"/>
          <w:sz w:val="26"/>
          <w:szCs w:val="26"/>
        </w:rPr>
        <w:t xml:space="preserve">A jurisprudência indica a inaplicabilidade da prerrogativa de intimação pessoal da Defensoria e do </w:t>
      </w:r>
      <w:r w:rsidR="00C17FA0">
        <w:rPr>
          <w:rFonts w:ascii="Bookman Old Style" w:hAnsi="Bookman Old Style"/>
          <w:sz w:val="26"/>
          <w:szCs w:val="26"/>
        </w:rPr>
        <w:t xml:space="preserve">MP, com aplicação do princípio da celeridade, na forma do artigo 82, §4º, Lei n. 9099/95. </w:t>
      </w:r>
    </w:p>
    <w:p w:rsidR="00C17FA0" w:rsidRDefault="00C17FA0" w:rsidP="00D14408">
      <w:pPr>
        <w:spacing w:line="360" w:lineRule="auto"/>
        <w:ind w:firstLine="567"/>
        <w:jc w:val="both"/>
        <w:rPr>
          <w:rFonts w:ascii="Bookman Old Style" w:hAnsi="Bookman Old Style"/>
          <w:sz w:val="26"/>
          <w:szCs w:val="26"/>
        </w:rPr>
      </w:pPr>
      <w:r>
        <w:rPr>
          <w:rFonts w:ascii="Bookman Old Style" w:hAnsi="Bookman Old Style"/>
          <w:sz w:val="26"/>
          <w:szCs w:val="26"/>
        </w:rPr>
        <w:lastRenderedPageBreak/>
        <w:t xml:space="preserve">Podemos </w:t>
      </w:r>
      <w:r w:rsidRPr="00C17FA0">
        <w:rPr>
          <w:rFonts w:ascii="Bookman Old Style" w:hAnsi="Bookman Old Style"/>
          <w:b/>
          <w:sz w:val="26"/>
          <w:szCs w:val="26"/>
        </w:rPr>
        <w:t>criticar</w:t>
      </w:r>
      <w:r>
        <w:rPr>
          <w:rFonts w:ascii="Bookman Old Style" w:hAnsi="Bookman Old Style"/>
          <w:sz w:val="26"/>
          <w:szCs w:val="26"/>
        </w:rPr>
        <w:t xml:space="preserve"> esse entendimento, com base no princípio da especialidade, pois a LC 80/94 traz expressamente a prerrogativa de intimação pessoal da Defensoria sem excepcionar qualquer tipo de procedimento especial. Nesse sentido, trata-se de lei especial a par da lei geral, no caso, a Lei n. 9099/95, devendo ser aplicada. Aliás, as razões de aplicação da prerrogativa permanecem hígidas (alta carga de trabalho, indeclinabilidade das causas, falta de estrutura). </w:t>
      </w:r>
    </w:p>
    <w:p w:rsidR="00C17FA0" w:rsidRDefault="00C17FA0" w:rsidP="00D14408">
      <w:pPr>
        <w:spacing w:line="360" w:lineRule="auto"/>
        <w:ind w:firstLine="567"/>
        <w:jc w:val="both"/>
        <w:rPr>
          <w:rFonts w:ascii="Bookman Old Style" w:hAnsi="Bookman Old Style"/>
          <w:sz w:val="26"/>
          <w:szCs w:val="26"/>
        </w:rPr>
      </w:pPr>
      <w:r w:rsidRPr="00C17FA0">
        <w:rPr>
          <w:rFonts w:ascii="Bookman Old Style" w:hAnsi="Bookman Old Style"/>
          <w:sz w:val="26"/>
          <w:szCs w:val="26"/>
        </w:rPr>
        <w:t>A prerrogativa de intimação pessoal cumpre-se com o</w:t>
      </w:r>
      <w:r>
        <w:rPr>
          <w:rFonts w:ascii="Bookman Old Style" w:hAnsi="Bookman Old Style"/>
          <w:b/>
          <w:sz w:val="26"/>
          <w:szCs w:val="26"/>
        </w:rPr>
        <w:t xml:space="preserve"> ingresso dos autos na Secretaria do órgão da Defensoria. </w:t>
      </w:r>
      <w:r>
        <w:rPr>
          <w:rFonts w:ascii="Bookman Old Style" w:hAnsi="Bookman Old Style"/>
          <w:sz w:val="26"/>
          <w:szCs w:val="26"/>
        </w:rPr>
        <w:t>Assim, independe da entrega efetiva dos autos ao defensor.</w:t>
      </w:r>
    </w:p>
    <w:p w:rsidR="00C17FA0" w:rsidRDefault="00C17FA0" w:rsidP="00D14408">
      <w:pPr>
        <w:spacing w:line="360" w:lineRule="auto"/>
        <w:ind w:firstLine="567"/>
        <w:jc w:val="both"/>
        <w:rPr>
          <w:rFonts w:ascii="Bookman Old Style" w:hAnsi="Bookman Old Style"/>
          <w:sz w:val="26"/>
          <w:szCs w:val="26"/>
        </w:rPr>
      </w:pPr>
      <w:r>
        <w:rPr>
          <w:rFonts w:ascii="Bookman Old Style" w:hAnsi="Bookman Old Style"/>
          <w:sz w:val="26"/>
          <w:szCs w:val="26"/>
        </w:rPr>
        <w:t xml:space="preserve">Acerca da </w:t>
      </w:r>
      <w:r>
        <w:rPr>
          <w:rFonts w:ascii="Bookman Old Style" w:hAnsi="Bookman Old Style"/>
          <w:b/>
          <w:sz w:val="26"/>
          <w:szCs w:val="26"/>
        </w:rPr>
        <w:t>intimação pessoal de atos praticados em audiência (art. 1003, §1º, CPC, e art. 798, §5º, “b”, CPP)</w:t>
      </w:r>
      <w:r>
        <w:rPr>
          <w:rFonts w:ascii="Bookman Old Style" w:hAnsi="Bookman Old Style"/>
          <w:sz w:val="26"/>
          <w:szCs w:val="26"/>
        </w:rPr>
        <w:t>, o prazo recursal para Defensoria não se inicia no dia útil posterior à audiência</w:t>
      </w:r>
      <w:r w:rsidR="004511D6">
        <w:rPr>
          <w:rFonts w:ascii="Bookman Old Style" w:hAnsi="Bookman Old Style"/>
          <w:sz w:val="26"/>
          <w:szCs w:val="26"/>
        </w:rPr>
        <w:t>, como poderia parecer. Isso porque não podemos nos esquecer de que a prerrogativa de intimação pessoal envolve não só a ciência, mas também a remessa dos autos em carga, o que não é cumprido na audiência. Assim, eventual prazo recursal somente se inicia com o ingresso dos autos no órgão da Defensoria.</w:t>
      </w:r>
    </w:p>
    <w:p w:rsidR="004511D6" w:rsidRDefault="004511D6" w:rsidP="00D14408">
      <w:pPr>
        <w:spacing w:line="360" w:lineRule="auto"/>
        <w:ind w:firstLine="567"/>
        <w:jc w:val="both"/>
        <w:rPr>
          <w:rFonts w:ascii="Bookman Old Style" w:hAnsi="Bookman Old Style"/>
          <w:sz w:val="26"/>
          <w:szCs w:val="26"/>
        </w:rPr>
      </w:pPr>
      <w:r>
        <w:rPr>
          <w:rFonts w:ascii="Bookman Old Style" w:hAnsi="Bookman Old Style"/>
          <w:sz w:val="26"/>
          <w:szCs w:val="26"/>
        </w:rPr>
        <w:t xml:space="preserve">No caso de </w:t>
      </w:r>
      <w:r w:rsidRPr="004511D6">
        <w:rPr>
          <w:rFonts w:ascii="Bookman Old Style" w:hAnsi="Bookman Old Style"/>
          <w:b/>
          <w:sz w:val="26"/>
          <w:szCs w:val="26"/>
        </w:rPr>
        <w:t>sentença condenatória penal em 1º grau</w:t>
      </w:r>
      <w:r>
        <w:rPr>
          <w:rFonts w:ascii="Bookman Old Style" w:hAnsi="Bookman Old Style"/>
          <w:sz w:val="26"/>
          <w:szCs w:val="26"/>
        </w:rPr>
        <w:t>, tanto o réu como o defensor devem ser intimados pessoalmente, pois ambos possuem legitimidade ativa para interposição do recurso de apelação, conforme estabelece o artigo 577, do CPP. Nesse caso, o prazo recursal somente se iniciará a partir da última intimação pessoal realizada, seja do réu, seja do defensor, na forma do artigo 798, §5º, “a”, do CPP.</w:t>
      </w:r>
    </w:p>
    <w:p w:rsidR="005A1429" w:rsidRDefault="005A1429" w:rsidP="00D14408">
      <w:pPr>
        <w:spacing w:line="360" w:lineRule="auto"/>
        <w:ind w:firstLine="567"/>
        <w:jc w:val="both"/>
        <w:rPr>
          <w:rFonts w:ascii="Bookman Old Style" w:hAnsi="Bookman Old Style"/>
          <w:sz w:val="26"/>
          <w:szCs w:val="26"/>
        </w:rPr>
      </w:pPr>
      <w:r>
        <w:rPr>
          <w:rFonts w:ascii="Bookman Old Style" w:hAnsi="Bookman Old Style"/>
          <w:sz w:val="26"/>
          <w:szCs w:val="26"/>
        </w:rPr>
        <w:t xml:space="preserve">Nesse contexto, importante destacar ainda que as legitimidades recursais são autônomas. Assim, o réu pode recorrer </w:t>
      </w:r>
      <w:r>
        <w:rPr>
          <w:rFonts w:ascii="Bookman Old Style" w:hAnsi="Bookman Old Style"/>
          <w:sz w:val="26"/>
          <w:szCs w:val="26"/>
        </w:rPr>
        <w:lastRenderedPageBreak/>
        <w:t>contra a vontade do defensor e vice-versa. Ora, como sabemos, o recurso defensivo pode apenas beneficiar o réu, jamais prejudicá-lo, na forma do artigo 617, do CPP.</w:t>
      </w:r>
    </w:p>
    <w:p w:rsidR="005A1429" w:rsidRDefault="005A1429" w:rsidP="005A1429">
      <w:pPr>
        <w:pStyle w:val="PargrafodaLista"/>
        <w:numPr>
          <w:ilvl w:val="0"/>
          <w:numId w:val="2"/>
        </w:numPr>
        <w:spacing w:line="360" w:lineRule="auto"/>
        <w:jc w:val="both"/>
        <w:rPr>
          <w:rFonts w:ascii="Bookman Old Style" w:hAnsi="Bookman Old Style"/>
          <w:b/>
          <w:sz w:val="26"/>
          <w:szCs w:val="26"/>
        </w:rPr>
      </w:pPr>
      <w:r>
        <w:rPr>
          <w:rFonts w:ascii="Bookman Old Style" w:hAnsi="Bookman Old Style"/>
          <w:b/>
          <w:sz w:val="26"/>
          <w:szCs w:val="26"/>
        </w:rPr>
        <w:t>PRAZO EM DOBRO.</w:t>
      </w:r>
    </w:p>
    <w:p w:rsidR="005A1429" w:rsidRDefault="005A1429" w:rsidP="005A1429">
      <w:pPr>
        <w:spacing w:line="360" w:lineRule="auto"/>
        <w:ind w:firstLine="567"/>
        <w:jc w:val="both"/>
        <w:rPr>
          <w:rFonts w:ascii="Bookman Old Style" w:hAnsi="Bookman Old Style"/>
          <w:sz w:val="26"/>
          <w:szCs w:val="26"/>
        </w:rPr>
      </w:pPr>
      <w:r>
        <w:rPr>
          <w:rFonts w:ascii="Bookman Old Style" w:hAnsi="Bookman Old Style"/>
          <w:sz w:val="26"/>
          <w:szCs w:val="26"/>
        </w:rPr>
        <w:t xml:space="preserve">Previsões legais: </w:t>
      </w:r>
      <w:r w:rsidRPr="005A1429">
        <w:rPr>
          <w:rFonts w:ascii="Bookman Old Style" w:hAnsi="Bookman Old Style"/>
          <w:sz w:val="26"/>
          <w:szCs w:val="26"/>
        </w:rPr>
        <w:t xml:space="preserve">artigo 44, I, </w:t>
      </w:r>
      <w:r>
        <w:rPr>
          <w:rFonts w:ascii="Bookman Old Style" w:hAnsi="Bookman Old Style"/>
          <w:sz w:val="26"/>
          <w:szCs w:val="26"/>
        </w:rPr>
        <w:t xml:space="preserve">LC 80/1994 (DPU); artigo 89, I, </w:t>
      </w:r>
      <w:r w:rsidRPr="005A1429">
        <w:rPr>
          <w:rFonts w:ascii="Bookman Old Style" w:hAnsi="Bookman Old Style"/>
          <w:sz w:val="26"/>
          <w:szCs w:val="26"/>
        </w:rPr>
        <w:t>LC 80/1994 (DPDFT); artigo 128, I, LC 80/1994 (</w:t>
      </w:r>
      <w:proofErr w:type="spellStart"/>
      <w:r w:rsidRPr="005A1429">
        <w:rPr>
          <w:rFonts w:ascii="Bookman Old Style" w:hAnsi="Bookman Old Style"/>
          <w:sz w:val="26"/>
          <w:szCs w:val="26"/>
        </w:rPr>
        <w:t>DPEs</w:t>
      </w:r>
      <w:proofErr w:type="spellEnd"/>
      <w:r w:rsidRPr="005A1429">
        <w:rPr>
          <w:rFonts w:ascii="Bookman Old Style" w:hAnsi="Bookman Old Style"/>
          <w:sz w:val="26"/>
          <w:szCs w:val="26"/>
        </w:rPr>
        <w:t>)</w:t>
      </w:r>
      <w:r>
        <w:rPr>
          <w:rFonts w:ascii="Bookman Old Style" w:hAnsi="Bookman Old Style"/>
          <w:sz w:val="26"/>
          <w:szCs w:val="26"/>
        </w:rPr>
        <w:t xml:space="preserve">; artigo 186, </w:t>
      </w:r>
      <w:r>
        <w:rPr>
          <w:rFonts w:ascii="Bookman Old Style" w:hAnsi="Bookman Old Style"/>
          <w:i/>
          <w:sz w:val="26"/>
          <w:szCs w:val="26"/>
        </w:rPr>
        <w:t xml:space="preserve">caput, </w:t>
      </w:r>
      <w:r>
        <w:rPr>
          <w:rFonts w:ascii="Bookman Old Style" w:hAnsi="Bookman Old Style"/>
          <w:sz w:val="26"/>
          <w:szCs w:val="26"/>
        </w:rPr>
        <w:t>CPC</w:t>
      </w:r>
      <w:r w:rsidR="009F53C5">
        <w:rPr>
          <w:rFonts w:ascii="Bookman Old Style" w:hAnsi="Bookman Old Style"/>
          <w:sz w:val="26"/>
          <w:szCs w:val="26"/>
        </w:rPr>
        <w:t>.</w:t>
      </w:r>
    </w:p>
    <w:p w:rsidR="009F53C5" w:rsidRDefault="009F53C5" w:rsidP="005A1429">
      <w:pPr>
        <w:spacing w:line="360" w:lineRule="auto"/>
        <w:ind w:firstLine="567"/>
        <w:jc w:val="both"/>
        <w:rPr>
          <w:rFonts w:ascii="Bookman Old Style" w:hAnsi="Bookman Old Style"/>
          <w:sz w:val="26"/>
          <w:szCs w:val="26"/>
        </w:rPr>
      </w:pPr>
      <w:r>
        <w:rPr>
          <w:rFonts w:ascii="Bookman Old Style" w:hAnsi="Bookman Old Style"/>
          <w:sz w:val="26"/>
          <w:szCs w:val="26"/>
        </w:rPr>
        <w:t>Inicialmente, devemos lembrar que o processo penal</w:t>
      </w:r>
      <w:r w:rsidR="00BE2C0B">
        <w:rPr>
          <w:rFonts w:ascii="Bookman Old Style" w:hAnsi="Bookman Old Style"/>
          <w:sz w:val="26"/>
          <w:szCs w:val="26"/>
        </w:rPr>
        <w:t xml:space="preserve"> lida, na maior parte das vezes, com o </w:t>
      </w:r>
      <w:r w:rsidR="00BE2C0B" w:rsidRPr="00BE2C0B">
        <w:rPr>
          <w:rFonts w:ascii="Bookman Old Style" w:hAnsi="Bookman Old Style"/>
          <w:b/>
          <w:sz w:val="26"/>
          <w:szCs w:val="26"/>
        </w:rPr>
        <w:t>direito indisponível de liberdade do réu</w:t>
      </w:r>
      <w:r w:rsidR="00BE2C0B">
        <w:rPr>
          <w:rFonts w:ascii="Bookman Old Style" w:hAnsi="Bookman Old Style"/>
          <w:sz w:val="26"/>
          <w:szCs w:val="26"/>
        </w:rPr>
        <w:t>. Nesse sentido, durante todo o andamento do procedimento, deve-se garantir o devido processo legal, com ampla defesa e contraditório. Dessa forma, a perda de determinado prazo processual pelo defensor jamais pode significar prejuízo à defesa do réu. Assim, não há preclusão para a prática do ato, podendo a perda do prazo ter apenas reflexos disciplinares, a juízo da própria Instituição. Exemplificando, podemos citar a perda do prazo para apresentação de alegações finais escritas. Ainda assim, elas devem ser apresentadas.</w:t>
      </w:r>
    </w:p>
    <w:p w:rsidR="00BE2C0B" w:rsidRDefault="00BE2C0B" w:rsidP="005A1429">
      <w:pPr>
        <w:spacing w:line="360" w:lineRule="auto"/>
        <w:ind w:firstLine="567"/>
        <w:jc w:val="both"/>
        <w:rPr>
          <w:rFonts w:ascii="Bookman Old Style" w:hAnsi="Bookman Old Style"/>
          <w:sz w:val="26"/>
          <w:szCs w:val="26"/>
        </w:rPr>
      </w:pPr>
      <w:r>
        <w:rPr>
          <w:rFonts w:ascii="Bookman Old Style" w:hAnsi="Bookman Old Style"/>
          <w:sz w:val="26"/>
          <w:szCs w:val="26"/>
        </w:rPr>
        <w:t>Nesse contexto, suponhamos que o advogado constituído pelo réu deixe de apresentar alguma peça indispensável à defesa ou falte injustificadamente a uma audiência marcada. Nessa quadra, é equivocado o juízo de pronto abrir vista à Defensoria para manifestação ou mesmo mandar chamar o defensor para compor a audiência. Primeiramente, o juízo deve intimar pessoalmente o réu para dar-lhe a oportunidade de constituir outro advogado e, só então, sendo o caso, abrir vista à Defensoria.</w:t>
      </w:r>
    </w:p>
    <w:p w:rsidR="009F53C5" w:rsidRDefault="009F53C5" w:rsidP="009F53C5">
      <w:pPr>
        <w:spacing w:line="360" w:lineRule="auto"/>
        <w:ind w:firstLine="567"/>
        <w:jc w:val="both"/>
        <w:rPr>
          <w:rFonts w:ascii="Bookman Old Style" w:hAnsi="Bookman Old Style"/>
          <w:sz w:val="26"/>
          <w:szCs w:val="26"/>
        </w:rPr>
      </w:pPr>
      <w:r>
        <w:rPr>
          <w:rFonts w:ascii="Bookman Old Style" w:hAnsi="Bookman Old Style"/>
          <w:sz w:val="26"/>
          <w:szCs w:val="26"/>
        </w:rPr>
        <w:t xml:space="preserve">Quanto à </w:t>
      </w:r>
      <w:r>
        <w:rPr>
          <w:rFonts w:ascii="Bookman Old Style" w:hAnsi="Bookman Old Style"/>
          <w:b/>
          <w:sz w:val="26"/>
          <w:szCs w:val="26"/>
        </w:rPr>
        <w:t xml:space="preserve">contagem de prazo, </w:t>
      </w:r>
      <w:r>
        <w:rPr>
          <w:rFonts w:ascii="Bookman Old Style" w:hAnsi="Bookman Old Style"/>
          <w:sz w:val="26"/>
          <w:szCs w:val="26"/>
        </w:rPr>
        <w:t xml:space="preserve">o processo penal possui regra específica, indicando que os prazos são contados em dias corridos, </w:t>
      </w:r>
      <w:r>
        <w:rPr>
          <w:rFonts w:ascii="Bookman Old Style" w:hAnsi="Bookman Old Style"/>
          <w:sz w:val="26"/>
          <w:szCs w:val="26"/>
        </w:rPr>
        <w:lastRenderedPageBreak/>
        <w:t>mas não em dias úteis como no CPC. Trata-se do artigo 798, do CPP.</w:t>
      </w:r>
    </w:p>
    <w:p w:rsidR="009F53C5" w:rsidRDefault="009F53C5" w:rsidP="005A1429">
      <w:pPr>
        <w:spacing w:line="360" w:lineRule="auto"/>
        <w:ind w:firstLine="567"/>
        <w:jc w:val="both"/>
        <w:rPr>
          <w:rFonts w:ascii="Bookman Old Style" w:hAnsi="Bookman Old Style"/>
          <w:b/>
          <w:sz w:val="26"/>
          <w:szCs w:val="26"/>
        </w:rPr>
      </w:pPr>
      <w:r>
        <w:rPr>
          <w:rFonts w:ascii="Bookman Old Style" w:hAnsi="Bookman Old Style"/>
          <w:b/>
          <w:sz w:val="26"/>
          <w:szCs w:val="26"/>
        </w:rPr>
        <w:t>Exceções à contagem em dobro do prazo:</w:t>
      </w:r>
    </w:p>
    <w:p w:rsidR="009F53C5" w:rsidRDefault="009F53C5" w:rsidP="009F53C5">
      <w:pPr>
        <w:pStyle w:val="PargrafodaLista"/>
        <w:numPr>
          <w:ilvl w:val="0"/>
          <w:numId w:val="3"/>
        </w:numPr>
        <w:spacing w:line="360" w:lineRule="auto"/>
        <w:jc w:val="both"/>
        <w:rPr>
          <w:rFonts w:ascii="Bookman Old Style" w:hAnsi="Bookman Old Style"/>
          <w:sz w:val="26"/>
          <w:szCs w:val="26"/>
        </w:rPr>
      </w:pPr>
      <w:proofErr w:type="gramStart"/>
      <w:r w:rsidRPr="009F53C5">
        <w:rPr>
          <w:rFonts w:ascii="Bookman Old Style" w:hAnsi="Bookman Old Style"/>
          <w:b/>
          <w:sz w:val="26"/>
          <w:szCs w:val="26"/>
        </w:rPr>
        <w:t>prazos</w:t>
      </w:r>
      <w:proofErr w:type="gramEnd"/>
      <w:r w:rsidRPr="009F53C5">
        <w:rPr>
          <w:rFonts w:ascii="Bookman Old Style" w:hAnsi="Bookman Old Style"/>
          <w:b/>
          <w:sz w:val="26"/>
          <w:szCs w:val="26"/>
        </w:rPr>
        <w:t xml:space="preserve"> materiais</w:t>
      </w:r>
      <w:r>
        <w:rPr>
          <w:rFonts w:ascii="Bookman Old Style" w:hAnsi="Bookman Old Style"/>
          <w:sz w:val="26"/>
          <w:szCs w:val="26"/>
        </w:rPr>
        <w:t>: decadência e prescrição. Exemplos: prazo de representação da vítima, prazo de queixa-crime, prazo de mandado de segurança, prazo de ação rescisória;</w:t>
      </w:r>
    </w:p>
    <w:p w:rsidR="009F53C5" w:rsidRDefault="009F53C5" w:rsidP="009F53C5">
      <w:pPr>
        <w:pStyle w:val="PargrafodaLista"/>
        <w:numPr>
          <w:ilvl w:val="0"/>
          <w:numId w:val="3"/>
        </w:numPr>
        <w:spacing w:line="360" w:lineRule="auto"/>
        <w:jc w:val="both"/>
        <w:rPr>
          <w:rFonts w:ascii="Bookman Old Style" w:hAnsi="Bookman Old Style"/>
          <w:sz w:val="26"/>
          <w:szCs w:val="26"/>
        </w:rPr>
      </w:pPr>
      <w:proofErr w:type="gramStart"/>
      <w:r>
        <w:rPr>
          <w:rFonts w:ascii="Bookman Old Style" w:hAnsi="Bookman Old Style"/>
          <w:sz w:val="26"/>
          <w:szCs w:val="26"/>
        </w:rPr>
        <w:t>prazo</w:t>
      </w:r>
      <w:proofErr w:type="gramEnd"/>
      <w:r>
        <w:rPr>
          <w:rFonts w:ascii="Bookman Old Style" w:hAnsi="Bookman Old Style"/>
          <w:sz w:val="26"/>
          <w:szCs w:val="26"/>
        </w:rPr>
        <w:t xml:space="preserve"> de </w:t>
      </w:r>
      <w:r w:rsidRPr="009F53C5">
        <w:rPr>
          <w:rFonts w:ascii="Bookman Old Style" w:hAnsi="Bookman Old Style"/>
          <w:b/>
          <w:sz w:val="26"/>
          <w:szCs w:val="26"/>
        </w:rPr>
        <w:t>dez dias para acesso ao processo eletrônico</w:t>
      </w:r>
      <w:r>
        <w:rPr>
          <w:rFonts w:ascii="Bookman Old Style" w:hAnsi="Bookman Old Style"/>
          <w:sz w:val="26"/>
          <w:szCs w:val="26"/>
        </w:rPr>
        <w:t xml:space="preserve"> (art. 5º, §3º, Lei n. 11419/2006);</w:t>
      </w:r>
    </w:p>
    <w:p w:rsidR="009F53C5" w:rsidRDefault="009F53C5" w:rsidP="009F53C5">
      <w:pPr>
        <w:pStyle w:val="PargrafodaLista"/>
        <w:numPr>
          <w:ilvl w:val="0"/>
          <w:numId w:val="3"/>
        </w:numPr>
        <w:spacing w:line="360" w:lineRule="auto"/>
        <w:jc w:val="both"/>
        <w:rPr>
          <w:rFonts w:ascii="Bookman Old Style" w:hAnsi="Bookman Old Style"/>
          <w:sz w:val="26"/>
          <w:szCs w:val="26"/>
        </w:rPr>
      </w:pPr>
      <w:proofErr w:type="gramStart"/>
      <w:r>
        <w:rPr>
          <w:rFonts w:ascii="Bookman Old Style" w:hAnsi="Bookman Old Style"/>
          <w:sz w:val="26"/>
          <w:szCs w:val="26"/>
        </w:rPr>
        <w:t>prazo</w:t>
      </w:r>
      <w:proofErr w:type="gramEnd"/>
      <w:r>
        <w:rPr>
          <w:rFonts w:ascii="Bookman Old Style" w:hAnsi="Bookman Old Style"/>
          <w:sz w:val="26"/>
          <w:szCs w:val="26"/>
        </w:rPr>
        <w:t xml:space="preserve"> de </w:t>
      </w:r>
      <w:r w:rsidRPr="009F53C5">
        <w:rPr>
          <w:rFonts w:ascii="Bookman Old Style" w:hAnsi="Bookman Old Style"/>
          <w:b/>
          <w:sz w:val="26"/>
          <w:szCs w:val="26"/>
        </w:rPr>
        <w:t>sustentação oral</w:t>
      </w:r>
      <w:r>
        <w:rPr>
          <w:rFonts w:ascii="Bookman Old Style" w:hAnsi="Bookman Old Style"/>
          <w:sz w:val="26"/>
          <w:szCs w:val="26"/>
        </w:rPr>
        <w:t xml:space="preserve"> nos Tribunais, no Tribunal do Júri e em alegações finais orais. São atos imediatos e não futuros, não se justificando aumento do prazo, </w:t>
      </w:r>
      <w:proofErr w:type="gramStart"/>
      <w:r>
        <w:rPr>
          <w:rFonts w:ascii="Bookman Old Style" w:hAnsi="Bookman Old Style"/>
          <w:sz w:val="26"/>
          <w:szCs w:val="26"/>
        </w:rPr>
        <w:t>sob pena</w:t>
      </w:r>
      <w:proofErr w:type="gramEnd"/>
      <w:r>
        <w:rPr>
          <w:rFonts w:ascii="Bookman Old Style" w:hAnsi="Bookman Old Style"/>
          <w:sz w:val="26"/>
          <w:szCs w:val="26"/>
        </w:rPr>
        <w:t xml:space="preserve"> de violar a paridade de armas;</w:t>
      </w:r>
    </w:p>
    <w:p w:rsidR="009F53C5" w:rsidRDefault="009F53C5" w:rsidP="009F53C5">
      <w:pPr>
        <w:pStyle w:val="PargrafodaLista"/>
        <w:numPr>
          <w:ilvl w:val="0"/>
          <w:numId w:val="3"/>
        </w:numPr>
        <w:spacing w:line="360" w:lineRule="auto"/>
        <w:jc w:val="both"/>
        <w:rPr>
          <w:rFonts w:ascii="Bookman Old Style" w:hAnsi="Bookman Old Style"/>
          <w:sz w:val="26"/>
          <w:szCs w:val="26"/>
        </w:rPr>
      </w:pPr>
      <w:r w:rsidRPr="009F53C5">
        <w:rPr>
          <w:rFonts w:ascii="Bookman Old Style" w:hAnsi="Bookman Old Style"/>
          <w:b/>
          <w:sz w:val="26"/>
          <w:szCs w:val="26"/>
        </w:rPr>
        <w:t>Juizados Especiais</w:t>
      </w:r>
      <w:r>
        <w:rPr>
          <w:rFonts w:ascii="Bookman Old Style" w:hAnsi="Bookman Old Style"/>
          <w:sz w:val="26"/>
          <w:szCs w:val="26"/>
        </w:rPr>
        <w:t>, com base na aplicação do princípio da celeridade. Criticar com base na teoria da lei específica, uma vez que LC 80/94 não excepciona a aplicação do prazo em dobro a procedimentos especiais.</w:t>
      </w:r>
    </w:p>
    <w:p w:rsidR="00BE2C0B" w:rsidRDefault="00BE2C0B" w:rsidP="00554A03">
      <w:pPr>
        <w:spacing w:line="360" w:lineRule="auto"/>
        <w:ind w:firstLine="567"/>
        <w:jc w:val="both"/>
        <w:rPr>
          <w:rFonts w:ascii="Bookman Old Style" w:hAnsi="Bookman Old Style"/>
          <w:sz w:val="26"/>
          <w:szCs w:val="26"/>
        </w:rPr>
      </w:pPr>
      <w:r>
        <w:rPr>
          <w:rFonts w:ascii="Bookman Old Style" w:hAnsi="Bookman Old Style"/>
          <w:sz w:val="26"/>
          <w:szCs w:val="26"/>
        </w:rPr>
        <w:t xml:space="preserve">Ainda sob </w:t>
      </w:r>
      <w:proofErr w:type="gramStart"/>
      <w:r>
        <w:rPr>
          <w:rFonts w:ascii="Bookman Old Style" w:hAnsi="Bookman Old Style"/>
          <w:sz w:val="26"/>
          <w:szCs w:val="26"/>
        </w:rPr>
        <w:t>à</w:t>
      </w:r>
      <w:proofErr w:type="gramEnd"/>
      <w:r>
        <w:rPr>
          <w:rFonts w:ascii="Bookman Old Style" w:hAnsi="Bookman Old Style"/>
          <w:sz w:val="26"/>
          <w:szCs w:val="26"/>
        </w:rPr>
        <w:t xml:space="preserve"> égide do artigo 5º, §5º, da Lei 1060/1950</w:t>
      </w:r>
      <w:r w:rsidR="00554A03">
        <w:rPr>
          <w:rFonts w:ascii="Bookman Old Style" w:hAnsi="Bookman Old Style"/>
          <w:sz w:val="26"/>
          <w:szCs w:val="26"/>
        </w:rPr>
        <w:t xml:space="preserve">, a constitucionalidade do prazo em dobro para Defensoria no processo penal foi questionada no STF, sob o argumento de que violaria a paridade de armas, eis que o MP não tem a mesma prerrogativa. O STF manteve a regra, com base na teoria da </w:t>
      </w:r>
      <w:r w:rsidR="00554A03">
        <w:rPr>
          <w:rFonts w:ascii="Bookman Old Style" w:hAnsi="Bookman Old Style"/>
          <w:b/>
          <w:sz w:val="26"/>
          <w:szCs w:val="26"/>
        </w:rPr>
        <w:t>inconstitucionalidade progressiva</w:t>
      </w:r>
      <w:r w:rsidR="00554A03">
        <w:rPr>
          <w:rFonts w:ascii="Bookman Old Style" w:hAnsi="Bookman Old Style"/>
          <w:sz w:val="26"/>
          <w:szCs w:val="26"/>
        </w:rPr>
        <w:t xml:space="preserve">, afirmando que, no momento, a Defensoria possui estrutura precária, especialmente, quando comparada com a estrutura dos Ministérios Públicos, motivo pelo qual a necessidade do prazo em dobro permanece, de forma a garantir igualdade material entre os órgãos. </w:t>
      </w:r>
    </w:p>
    <w:p w:rsidR="00554A03" w:rsidRDefault="00554A03" w:rsidP="00554A03">
      <w:pPr>
        <w:spacing w:line="360" w:lineRule="auto"/>
        <w:ind w:firstLine="567"/>
        <w:jc w:val="both"/>
        <w:rPr>
          <w:rFonts w:ascii="Bookman Old Style" w:hAnsi="Bookman Old Style"/>
          <w:sz w:val="26"/>
          <w:szCs w:val="26"/>
        </w:rPr>
      </w:pPr>
      <w:r>
        <w:rPr>
          <w:rFonts w:ascii="Bookman Old Style" w:hAnsi="Bookman Old Style"/>
          <w:sz w:val="26"/>
          <w:szCs w:val="26"/>
        </w:rPr>
        <w:t xml:space="preserve">OBSERVAÇÃO: </w:t>
      </w:r>
      <w:r w:rsidRPr="00554A03">
        <w:rPr>
          <w:rFonts w:ascii="Bookman Old Style" w:hAnsi="Bookman Old Style"/>
          <w:b/>
          <w:sz w:val="26"/>
          <w:szCs w:val="26"/>
        </w:rPr>
        <w:t xml:space="preserve">prazo em dobro da Defensoria </w:t>
      </w:r>
      <w:proofErr w:type="gramStart"/>
      <w:r w:rsidRPr="00554A03">
        <w:rPr>
          <w:rFonts w:ascii="Bookman Old Style" w:hAnsi="Bookman Old Style"/>
          <w:b/>
          <w:sz w:val="26"/>
          <w:szCs w:val="26"/>
        </w:rPr>
        <w:t>no ECA</w:t>
      </w:r>
      <w:proofErr w:type="gramEnd"/>
      <w:r>
        <w:rPr>
          <w:rFonts w:ascii="Bookman Old Style" w:hAnsi="Bookman Old Style"/>
          <w:sz w:val="26"/>
          <w:szCs w:val="26"/>
        </w:rPr>
        <w:t xml:space="preserve">. Art. 152, §2º, </w:t>
      </w:r>
      <w:proofErr w:type="gramStart"/>
      <w:r>
        <w:rPr>
          <w:rFonts w:ascii="Bookman Old Style" w:hAnsi="Bookman Old Style"/>
          <w:sz w:val="26"/>
          <w:szCs w:val="26"/>
        </w:rPr>
        <w:t>do ECA</w:t>
      </w:r>
      <w:proofErr w:type="gramEnd"/>
      <w:r>
        <w:rPr>
          <w:rFonts w:ascii="Bookman Old Style" w:hAnsi="Bookman Old Style"/>
          <w:sz w:val="26"/>
          <w:szCs w:val="26"/>
        </w:rPr>
        <w:t xml:space="preserve">. Apenas é excepcionado o prazo em dobro para o </w:t>
      </w:r>
      <w:r>
        <w:rPr>
          <w:rFonts w:ascii="Bookman Old Style" w:hAnsi="Bookman Old Style"/>
          <w:sz w:val="26"/>
          <w:szCs w:val="26"/>
        </w:rPr>
        <w:lastRenderedPageBreak/>
        <w:t xml:space="preserve">MP e para a Fazenda Pública, razão pela qual a Defensoria mantém a prerrogativa de prazo em dobro nos procedimentos regidos </w:t>
      </w:r>
      <w:proofErr w:type="gramStart"/>
      <w:r>
        <w:rPr>
          <w:rFonts w:ascii="Bookman Old Style" w:hAnsi="Bookman Old Style"/>
          <w:sz w:val="26"/>
          <w:szCs w:val="26"/>
        </w:rPr>
        <w:t>pelo ECA</w:t>
      </w:r>
      <w:proofErr w:type="gramEnd"/>
      <w:r>
        <w:rPr>
          <w:rFonts w:ascii="Bookman Old Style" w:hAnsi="Bookman Old Style"/>
          <w:sz w:val="26"/>
          <w:szCs w:val="26"/>
        </w:rPr>
        <w:t>, inclusive, o processo para apuração de ato infracional.</w:t>
      </w:r>
    </w:p>
    <w:p w:rsidR="005F0C8F" w:rsidRDefault="005F0C8F" w:rsidP="005F0C8F">
      <w:pPr>
        <w:pStyle w:val="PargrafodaLista"/>
        <w:numPr>
          <w:ilvl w:val="0"/>
          <w:numId w:val="2"/>
        </w:numPr>
        <w:spacing w:line="360" w:lineRule="auto"/>
        <w:jc w:val="both"/>
        <w:rPr>
          <w:rFonts w:ascii="Bookman Old Style" w:hAnsi="Bookman Old Style"/>
          <w:b/>
          <w:sz w:val="26"/>
          <w:szCs w:val="26"/>
        </w:rPr>
      </w:pPr>
      <w:r>
        <w:rPr>
          <w:rFonts w:ascii="Bookman Old Style" w:hAnsi="Bookman Old Style"/>
          <w:b/>
          <w:sz w:val="26"/>
          <w:szCs w:val="26"/>
        </w:rPr>
        <w:t>PRISÃO DO DEFENSOR PÚBLICO.</w:t>
      </w:r>
    </w:p>
    <w:p w:rsidR="00925DFF" w:rsidRDefault="00925DFF" w:rsidP="005F0C8F">
      <w:pPr>
        <w:spacing w:line="360" w:lineRule="auto"/>
        <w:ind w:firstLine="567"/>
        <w:jc w:val="both"/>
        <w:rPr>
          <w:rFonts w:ascii="Bookman Old Style" w:hAnsi="Bookman Old Style"/>
          <w:sz w:val="26"/>
          <w:szCs w:val="26"/>
        </w:rPr>
      </w:pPr>
      <w:r>
        <w:rPr>
          <w:rFonts w:ascii="Bookman Old Style" w:hAnsi="Bookman Old Style"/>
          <w:sz w:val="26"/>
          <w:szCs w:val="26"/>
        </w:rPr>
        <w:t xml:space="preserve">Previsões legais: artigos 44, II e III, 88, II e III, 128, II e III, da LC 80/1994; artigo 74, I, da Constituição Estadual de SP. </w:t>
      </w:r>
    </w:p>
    <w:p w:rsidR="005F0C8F" w:rsidRDefault="005F0C8F" w:rsidP="005F0C8F">
      <w:pPr>
        <w:spacing w:line="360" w:lineRule="auto"/>
        <w:ind w:firstLine="567"/>
        <w:jc w:val="both"/>
        <w:rPr>
          <w:rFonts w:ascii="Bookman Old Style" w:hAnsi="Bookman Old Style"/>
          <w:sz w:val="26"/>
          <w:szCs w:val="26"/>
        </w:rPr>
      </w:pPr>
      <w:r>
        <w:rPr>
          <w:rFonts w:ascii="Bookman Old Style" w:hAnsi="Bookman Old Style"/>
          <w:sz w:val="26"/>
          <w:szCs w:val="26"/>
        </w:rPr>
        <w:t xml:space="preserve">O defensor público de São Paulo </w:t>
      </w:r>
      <w:r w:rsidRPr="003E2D3D">
        <w:rPr>
          <w:rFonts w:ascii="Bookman Old Style" w:hAnsi="Bookman Old Style"/>
          <w:b/>
          <w:sz w:val="26"/>
          <w:szCs w:val="26"/>
        </w:rPr>
        <w:t>não possui foro</w:t>
      </w:r>
      <w:r>
        <w:rPr>
          <w:rFonts w:ascii="Bookman Old Style" w:hAnsi="Bookman Old Style"/>
          <w:sz w:val="26"/>
          <w:szCs w:val="26"/>
        </w:rPr>
        <w:t xml:space="preserve"> por prerrogativa de função; apenas há previsão especial de </w:t>
      </w:r>
      <w:r w:rsidRPr="003E2D3D">
        <w:rPr>
          <w:rFonts w:ascii="Bookman Old Style" w:hAnsi="Bookman Old Style"/>
          <w:b/>
          <w:sz w:val="26"/>
          <w:szCs w:val="26"/>
        </w:rPr>
        <w:t>foro para o Defensor Público-Geral</w:t>
      </w:r>
      <w:r>
        <w:rPr>
          <w:rFonts w:ascii="Bookman Old Style" w:hAnsi="Bookman Old Style"/>
          <w:sz w:val="26"/>
          <w:szCs w:val="26"/>
        </w:rPr>
        <w:t>, nos termos do artigo 74, inciso I, da Constituição Estadual de SP. Nesse caso, em infrações penais comuns, é competente o Tribunal de Justiça.</w:t>
      </w:r>
    </w:p>
    <w:p w:rsidR="005F0C8F" w:rsidRDefault="005F0C8F" w:rsidP="005F0C8F">
      <w:pPr>
        <w:spacing w:line="360" w:lineRule="auto"/>
        <w:ind w:firstLine="567"/>
        <w:jc w:val="both"/>
        <w:rPr>
          <w:rFonts w:ascii="Bookman Old Style" w:hAnsi="Bookman Old Style"/>
          <w:sz w:val="26"/>
          <w:szCs w:val="26"/>
        </w:rPr>
      </w:pPr>
      <w:r>
        <w:rPr>
          <w:rFonts w:ascii="Bookman Old Style" w:hAnsi="Bookman Old Style"/>
          <w:sz w:val="26"/>
          <w:szCs w:val="26"/>
        </w:rPr>
        <w:t>Ainda na questão sobre o foro por prerrogativa de função, importante destacar o entendimento pacífico de que o foro fixado unicamente em Constituição Estadual não prevalece sobre o juízo competente fixado na Constituição Federal. Trata-se da SV 45. Assim, em caso de crime da competência do Tribunal do Júri, esta prevalecerá.</w:t>
      </w:r>
    </w:p>
    <w:p w:rsidR="005F0C8F" w:rsidRDefault="005F0C8F" w:rsidP="005F0C8F">
      <w:pPr>
        <w:spacing w:line="360" w:lineRule="auto"/>
        <w:ind w:firstLine="567"/>
        <w:jc w:val="both"/>
        <w:rPr>
          <w:rFonts w:ascii="Bookman Old Style" w:hAnsi="Bookman Old Style"/>
          <w:sz w:val="26"/>
          <w:szCs w:val="26"/>
        </w:rPr>
      </w:pPr>
      <w:r>
        <w:rPr>
          <w:rFonts w:ascii="Bookman Old Style" w:hAnsi="Bookman Old Style"/>
          <w:sz w:val="26"/>
          <w:szCs w:val="26"/>
        </w:rPr>
        <w:t>Fora isso, a</w:t>
      </w:r>
      <w:r w:rsidR="00925DFF">
        <w:rPr>
          <w:rFonts w:ascii="Bookman Old Style" w:hAnsi="Bookman Old Style"/>
          <w:sz w:val="26"/>
          <w:szCs w:val="26"/>
        </w:rPr>
        <w:t>s</w:t>
      </w:r>
      <w:r>
        <w:rPr>
          <w:rFonts w:ascii="Bookman Old Style" w:hAnsi="Bookman Old Style"/>
          <w:sz w:val="26"/>
          <w:szCs w:val="26"/>
        </w:rPr>
        <w:t xml:space="preserve"> única</w:t>
      </w:r>
      <w:r w:rsidR="00925DFF">
        <w:rPr>
          <w:rFonts w:ascii="Bookman Old Style" w:hAnsi="Bookman Old Style"/>
          <w:sz w:val="26"/>
          <w:szCs w:val="26"/>
        </w:rPr>
        <w:t>s</w:t>
      </w:r>
      <w:r>
        <w:rPr>
          <w:rFonts w:ascii="Bookman Old Style" w:hAnsi="Bookman Old Style"/>
          <w:sz w:val="26"/>
          <w:szCs w:val="26"/>
        </w:rPr>
        <w:t xml:space="preserve"> </w:t>
      </w:r>
      <w:r w:rsidRPr="003E2D3D">
        <w:rPr>
          <w:rFonts w:ascii="Bookman Old Style" w:hAnsi="Bookman Old Style"/>
          <w:b/>
          <w:sz w:val="26"/>
          <w:szCs w:val="26"/>
        </w:rPr>
        <w:t>especialidade</w:t>
      </w:r>
      <w:r w:rsidR="00925DFF" w:rsidRPr="003E2D3D">
        <w:rPr>
          <w:rFonts w:ascii="Bookman Old Style" w:hAnsi="Bookman Old Style"/>
          <w:b/>
          <w:sz w:val="26"/>
          <w:szCs w:val="26"/>
        </w:rPr>
        <w:t>s</w:t>
      </w:r>
      <w:r w:rsidRPr="003E2D3D">
        <w:rPr>
          <w:rFonts w:ascii="Bookman Old Style" w:hAnsi="Bookman Old Style"/>
          <w:b/>
          <w:sz w:val="26"/>
          <w:szCs w:val="26"/>
        </w:rPr>
        <w:t xml:space="preserve"> na</w:t>
      </w:r>
      <w:r w:rsidR="00925DFF" w:rsidRPr="003E2D3D">
        <w:rPr>
          <w:rFonts w:ascii="Bookman Old Style" w:hAnsi="Bookman Old Style"/>
          <w:b/>
          <w:sz w:val="26"/>
          <w:szCs w:val="26"/>
        </w:rPr>
        <w:t xml:space="preserve"> prisão</w:t>
      </w:r>
      <w:r w:rsidR="00925DFF">
        <w:rPr>
          <w:rFonts w:ascii="Bookman Old Style" w:hAnsi="Bookman Old Style"/>
          <w:sz w:val="26"/>
          <w:szCs w:val="26"/>
        </w:rPr>
        <w:t xml:space="preserve"> de um defensor público são</w:t>
      </w:r>
      <w:r>
        <w:rPr>
          <w:rFonts w:ascii="Bookman Old Style" w:hAnsi="Bookman Old Style"/>
          <w:sz w:val="26"/>
          <w:szCs w:val="26"/>
        </w:rPr>
        <w:t xml:space="preserve"> a necessidade de comunicação ao Defensor Público-Geral</w:t>
      </w:r>
      <w:r w:rsidR="00925DFF">
        <w:rPr>
          <w:rFonts w:ascii="Bookman Old Style" w:hAnsi="Bookman Old Style"/>
          <w:sz w:val="26"/>
          <w:szCs w:val="26"/>
        </w:rPr>
        <w:t xml:space="preserve"> e o seu recolhimento à sala separada e condigna, nos termos do artigo 128, incisos II e III, da LC 80/1994. </w:t>
      </w:r>
      <w:r w:rsidR="00F83D94">
        <w:rPr>
          <w:rFonts w:ascii="Bookman Old Style" w:hAnsi="Bookman Old Style"/>
          <w:sz w:val="26"/>
          <w:szCs w:val="26"/>
        </w:rPr>
        <w:t>Inexistindo local que atenda a esses requisitos, deve ser determinada a prisão domiciliar do defensor.</w:t>
      </w:r>
    </w:p>
    <w:p w:rsidR="003E2D3D" w:rsidRDefault="00925DFF" w:rsidP="005F0C8F">
      <w:pPr>
        <w:spacing w:line="360" w:lineRule="auto"/>
        <w:ind w:firstLine="567"/>
        <w:jc w:val="both"/>
        <w:rPr>
          <w:rFonts w:ascii="Bookman Old Style" w:hAnsi="Bookman Old Style"/>
          <w:sz w:val="26"/>
          <w:szCs w:val="26"/>
        </w:rPr>
      </w:pPr>
      <w:r>
        <w:rPr>
          <w:rFonts w:ascii="Bookman Old Style" w:hAnsi="Bookman Old Style"/>
          <w:sz w:val="26"/>
          <w:szCs w:val="26"/>
        </w:rPr>
        <w:t xml:space="preserve">Notem que, de acordo com o texto legal, </w:t>
      </w:r>
      <w:r w:rsidRPr="003E2D3D">
        <w:rPr>
          <w:rFonts w:ascii="Bookman Old Style" w:hAnsi="Bookman Old Style"/>
          <w:b/>
          <w:sz w:val="26"/>
          <w:szCs w:val="26"/>
        </w:rPr>
        <w:t xml:space="preserve">não é necessário que a infração penal seja inafiançável </w:t>
      </w:r>
      <w:r>
        <w:rPr>
          <w:rFonts w:ascii="Bookman Old Style" w:hAnsi="Bookman Old Style"/>
          <w:sz w:val="26"/>
          <w:szCs w:val="26"/>
        </w:rPr>
        <w:t>para justificar a prisão em flagrante de um defensor público, tal como é necessário para prender em flagrante um juiz ou um promotor de justiça</w:t>
      </w:r>
      <w:r w:rsidR="003E2D3D">
        <w:rPr>
          <w:rFonts w:ascii="Bookman Old Style" w:hAnsi="Bookman Old Style"/>
          <w:sz w:val="26"/>
          <w:szCs w:val="26"/>
        </w:rPr>
        <w:t xml:space="preserve"> (artigos </w:t>
      </w:r>
      <w:r w:rsidR="003E2D3D">
        <w:rPr>
          <w:rFonts w:ascii="Bookman Old Style" w:hAnsi="Bookman Old Style"/>
          <w:sz w:val="26"/>
          <w:szCs w:val="26"/>
        </w:rPr>
        <w:lastRenderedPageBreak/>
        <w:t>33, II, LC 35/1979, 40, III, Lei n. 8625/1993, e 18, II, d, LC 75/93)</w:t>
      </w:r>
      <w:r>
        <w:rPr>
          <w:rFonts w:ascii="Bookman Old Style" w:hAnsi="Bookman Old Style"/>
          <w:sz w:val="26"/>
          <w:szCs w:val="26"/>
        </w:rPr>
        <w:t>.</w:t>
      </w:r>
    </w:p>
    <w:p w:rsidR="00925DFF" w:rsidRDefault="003E2D3D" w:rsidP="005F0C8F">
      <w:pPr>
        <w:spacing w:line="360" w:lineRule="auto"/>
        <w:ind w:firstLine="567"/>
        <w:jc w:val="both"/>
        <w:rPr>
          <w:rFonts w:ascii="Bookman Old Style" w:hAnsi="Bookman Old Style"/>
          <w:sz w:val="26"/>
          <w:szCs w:val="26"/>
        </w:rPr>
      </w:pPr>
      <w:r>
        <w:rPr>
          <w:rFonts w:ascii="Bookman Old Style" w:hAnsi="Bookman Old Style"/>
          <w:sz w:val="26"/>
          <w:szCs w:val="26"/>
        </w:rPr>
        <w:t xml:space="preserve">Contudo, existe entendimento doutrinário (Diogo Esteves e </w:t>
      </w:r>
      <w:proofErr w:type="spellStart"/>
      <w:r>
        <w:rPr>
          <w:rFonts w:ascii="Bookman Old Style" w:hAnsi="Bookman Old Style"/>
          <w:sz w:val="26"/>
          <w:szCs w:val="26"/>
        </w:rPr>
        <w:t>Franklyn</w:t>
      </w:r>
      <w:proofErr w:type="spellEnd"/>
      <w:r>
        <w:rPr>
          <w:rFonts w:ascii="Bookman Old Style" w:hAnsi="Bookman Old Style"/>
          <w:sz w:val="26"/>
          <w:szCs w:val="26"/>
        </w:rPr>
        <w:t xml:space="preserve"> Roger) defendendo a </w:t>
      </w:r>
      <w:r w:rsidRPr="003E2D3D">
        <w:rPr>
          <w:rFonts w:ascii="Bookman Old Style" w:hAnsi="Bookman Old Style"/>
          <w:b/>
          <w:sz w:val="26"/>
          <w:szCs w:val="26"/>
        </w:rPr>
        <w:t>extensão da prerrogativa</w:t>
      </w:r>
      <w:r>
        <w:rPr>
          <w:rFonts w:ascii="Bookman Old Style" w:hAnsi="Bookman Old Style"/>
          <w:sz w:val="26"/>
          <w:szCs w:val="26"/>
        </w:rPr>
        <w:t xml:space="preserve"> também aos Defensores Públicos, em observância à necessidade de </w:t>
      </w:r>
      <w:r w:rsidRPr="003E2D3D">
        <w:rPr>
          <w:rFonts w:ascii="Bookman Old Style" w:hAnsi="Bookman Old Style"/>
          <w:b/>
          <w:sz w:val="26"/>
          <w:szCs w:val="26"/>
        </w:rPr>
        <w:t>igualdade de tratamento</w:t>
      </w:r>
      <w:r>
        <w:rPr>
          <w:rFonts w:ascii="Bookman Old Style" w:hAnsi="Bookman Old Style"/>
          <w:sz w:val="26"/>
          <w:szCs w:val="26"/>
        </w:rPr>
        <w:t>, prevista no artigo 128, XIII, da LC 80/94.</w:t>
      </w:r>
      <w:r w:rsidR="00925DFF">
        <w:rPr>
          <w:rFonts w:ascii="Bookman Old Style" w:hAnsi="Bookman Old Style"/>
          <w:sz w:val="26"/>
          <w:szCs w:val="26"/>
        </w:rPr>
        <w:t xml:space="preserve"> </w:t>
      </w:r>
    </w:p>
    <w:p w:rsidR="00CC23B2" w:rsidRDefault="00CC23B2" w:rsidP="005F0C8F">
      <w:pPr>
        <w:spacing w:line="360" w:lineRule="auto"/>
        <w:ind w:firstLine="567"/>
        <w:jc w:val="both"/>
        <w:rPr>
          <w:rFonts w:ascii="Bookman Old Style" w:hAnsi="Bookman Old Style"/>
          <w:sz w:val="26"/>
          <w:szCs w:val="26"/>
        </w:rPr>
      </w:pPr>
      <w:r>
        <w:rPr>
          <w:rFonts w:ascii="Bookman Old Style" w:hAnsi="Bookman Old Style"/>
          <w:sz w:val="26"/>
          <w:szCs w:val="26"/>
        </w:rPr>
        <w:t>Por fim, o processo investigatório em face de um defensor público precisa ser acompanhado por outro defensor público indicado pelo Defensor Público-Geral, conforme indica o artigo 128, §ú, da LC 80/1994.</w:t>
      </w:r>
    </w:p>
    <w:p w:rsidR="00C65E04" w:rsidRDefault="00C65E04" w:rsidP="00C65E04">
      <w:pPr>
        <w:pStyle w:val="PargrafodaLista"/>
        <w:numPr>
          <w:ilvl w:val="0"/>
          <w:numId w:val="2"/>
        </w:numPr>
        <w:spacing w:line="360" w:lineRule="auto"/>
        <w:jc w:val="both"/>
        <w:rPr>
          <w:rFonts w:ascii="Bookman Old Style" w:hAnsi="Bookman Old Style"/>
          <w:b/>
          <w:sz w:val="26"/>
          <w:szCs w:val="26"/>
        </w:rPr>
      </w:pPr>
      <w:r>
        <w:rPr>
          <w:rFonts w:ascii="Bookman Old Style" w:hAnsi="Bookman Old Style"/>
          <w:b/>
          <w:sz w:val="26"/>
          <w:szCs w:val="26"/>
        </w:rPr>
        <w:t>LIVRE COMUNICAÇÃO COM O RÉU.</w:t>
      </w:r>
    </w:p>
    <w:p w:rsidR="00C65E04" w:rsidRDefault="00C65E04" w:rsidP="00C65E04">
      <w:pPr>
        <w:spacing w:line="360" w:lineRule="auto"/>
        <w:ind w:firstLine="567"/>
        <w:jc w:val="both"/>
        <w:rPr>
          <w:rFonts w:ascii="Bookman Old Style" w:hAnsi="Bookman Old Style"/>
          <w:sz w:val="26"/>
          <w:szCs w:val="26"/>
        </w:rPr>
      </w:pPr>
      <w:r>
        <w:rPr>
          <w:rFonts w:ascii="Bookman Old Style" w:hAnsi="Bookman Old Style"/>
          <w:sz w:val="26"/>
          <w:szCs w:val="26"/>
        </w:rPr>
        <w:t xml:space="preserve">O artigo 128, VI, da LC 80/94, estabelece que o defensor </w:t>
      </w:r>
      <w:proofErr w:type="gramStart"/>
      <w:r>
        <w:rPr>
          <w:rFonts w:ascii="Bookman Old Style" w:hAnsi="Bookman Old Style"/>
          <w:sz w:val="26"/>
          <w:szCs w:val="26"/>
        </w:rPr>
        <w:t>pode</w:t>
      </w:r>
      <w:proofErr w:type="gramEnd"/>
      <w:r>
        <w:rPr>
          <w:rFonts w:ascii="Bookman Old Style" w:hAnsi="Bookman Old Style"/>
          <w:sz w:val="26"/>
          <w:szCs w:val="26"/>
        </w:rPr>
        <w:t xml:space="preserve"> conversar com o assistido livremente, mesmo em caso incomunicabilidade do preso. Não existe mais, sob o ordenamento jurídico atual, a possibilidade de existir incomunicabilidade do preso. Tal prática é vedada pela própria Constituição, no artigo 136, §3º, IV, que impede a incomunicabilidade do preso mesmo em caso de Estado de Defesa.</w:t>
      </w:r>
    </w:p>
    <w:p w:rsidR="00675AEC" w:rsidRDefault="00C65E04" w:rsidP="00C65E04">
      <w:pPr>
        <w:spacing w:line="360" w:lineRule="auto"/>
        <w:ind w:firstLine="567"/>
        <w:jc w:val="both"/>
        <w:rPr>
          <w:rFonts w:ascii="Bookman Old Style" w:hAnsi="Bookman Old Style"/>
          <w:sz w:val="26"/>
          <w:szCs w:val="26"/>
        </w:rPr>
      </w:pPr>
      <w:r>
        <w:rPr>
          <w:rFonts w:ascii="Bookman Old Style" w:hAnsi="Bookman Old Style"/>
          <w:sz w:val="26"/>
          <w:szCs w:val="26"/>
        </w:rPr>
        <w:t>Igualmente, o Pacto de San José da Costa Rica, em vigor no Brasil</w:t>
      </w:r>
      <w:r w:rsidR="00675AEC">
        <w:rPr>
          <w:rFonts w:ascii="Bookman Old Style" w:hAnsi="Bookman Old Style"/>
          <w:sz w:val="26"/>
          <w:szCs w:val="26"/>
        </w:rPr>
        <w:t xml:space="preserve"> com status supralegal, também impede a incomunicabilidade do preso, nos termos do artigo 8º, item </w:t>
      </w:r>
      <w:proofErr w:type="gramStart"/>
      <w:r w:rsidR="00675AEC">
        <w:rPr>
          <w:rFonts w:ascii="Bookman Old Style" w:hAnsi="Bookman Old Style"/>
          <w:sz w:val="26"/>
          <w:szCs w:val="26"/>
        </w:rPr>
        <w:t>2</w:t>
      </w:r>
      <w:proofErr w:type="gramEnd"/>
      <w:r w:rsidR="00675AEC">
        <w:rPr>
          <w:rFonts w:ascii="Bookman Old Style" w:hAnsi="Bookman Old Style"/>
          <w:sz w:val="26"/>
          <w:szCs w:val="26"/>
        </w:rPr>
        <w:t>, alínea “d”.</w:t>
      </w:r>
    </w:p>
    <w:p w:rsidR="00675AEC" w:rsidRDefault="00675AEC" w:rsidP="00675AEC">
      <w:pPr>
        <w:spacing w:line="360" w:lineRule="auto"/>
        <w:ind w:firstLine="567"/>
        <w:jc w:val="both"/>
        <w:rPr>
          <w:rFonts w:ascii="Bookman Old Style" w:hAnsi="Bookman Old Style"/>
          <w:sz w:val="26"/>
          <w:szCs w:val="26"/>
        </w:rPr>
      </w:pPr>
      <w:r>
        <w:rPr>
          <w:rFonts w:ascii="Bookman Old Style" w:hAnsi="Bookman Old Style"/>
          <w:sz w:val="26"/>
          <w:szCs w:val="26"/>
        </w:rPr>
        <w:t>Muitas vezes, o defensor só possui contato com o réu ou o preso no momento da audiência, ocasião em que tal prerrogativa se faz importante ao garantir que o defensor possa entrevistar o assistido antes da audiência, em local reservado.</w:t>
      </w:r>
    </w:p>
    <w:p w:rsidR="00C65E04" w:rsidRDefault="00675AEC" w:rsidP="00675AEC">
      <w:pPr>
        <w:spacing w:line="360" w:lineRule="auto"/>
        <w:ind w:firstLine="567"/>
        <w:jc w:val="both"/>
        <w:rPr>
          <w:rFonts w:ascii="Bookman Old Style" w:hAnsi="Bookman Old Style"/>
          <w:b/>
          <w:sz w:val="26"/>
          <w:szCs w:val="26"/>
        </w:rPr>
      </w:pPr>
      <w:r w:rsidRPr="00675AEC">
        <w:rPr>
          <w:rFonts w:ascii="Bookman Old Style" w:hAnsi="Bookman Old Style"/>
          <w:b/>
          <w:sz w:val="26"/>
          <w:szCs w:val="26"/>
        </w:rPr>
        <w:lastRenderedPageBreak/>
        <w:t>H)</w:t>
      </w:r>
      <w:r>
        <w:rPr>
          <w:rFonts w:ascii="Bookman Old Style" w:hAnsi="Bookman Old Style"/>
          <w:sz w:val="26"/>
          <w:szCs w:val="26"/>
        </w:rPr>
        <w:t xml:space="preserve"> </w:t>
      </w:r>
      <w:r>
        <w:rPr>
          <w:rFonts w:ascii="Bookman Old Style" w:hAnsi="Bookman Old Style"/>
          <w:b/>
          <w:sz w:val="26"/>
          <w:szCs w:val="26"/>
        </w:rPr>
        <w:t>LIVRE ACESSO A ESTABELECIMENTOS POLICIAIS, PENAIS, DE INTERNAÇÃO DE ADOLESCENTES.</w:t>
      </w:r>
    </w:p>
    <w:p w:rsidR="00675AEC" w:rsidRDefault="00675AEC" w:rsidP="00675AEC">
      <w:pPr>
        <w:spacing w:line="360" w:lineRule="auto"/>
        <w:ind w:firstLine="567"/>
        <w:jc w:val="both"/>
        <w:rPr>
          <w:rFonts w:ascii="Bookman Old Style" w:hAnsi="Bookman Old Style"/>
          <w:sz w:val="26"/>
          <w:szCs w:val="26"/>
        </w:rPr>
      </w:pPr>
      <w:r>
        <w:rPr>
          <w:rFonts w:ascii="Bookman Old Style" w:hAnsi="Bookman Old Style"/>
          <w:sz w:val="26"/>
          <w:szCs w:val="26"/>
        </w:rPr>
        <w:t>Previsões legais: artigo 128</w:t>
      </w:r>
      <w:proofErr w:type="gramStart"/>
      <w:r>
        <w:rPr>
          <w:rFonts w:ascii="Bookman Old Style" w:hAnsi="Bookman Old Style"/>
          <w:sz w:val="26"/>
          <w:szCs w:val="26"/>
        </w:rPr>
        <w:t>, VI</w:t>
      </w:r>
      <w:proofErr w:type="gramEnd"/>
      <w:r>
        <w:rPr>
          <w:rFonts w:ascii="Bookman Old Style" w:hAnsi="Bookman Old Style"/>
          <w:sz w:val="26"/>
          <w:szCs w:val="26"/>
        </w:rPr>
        <w:t>, LC 8</w:t>
      </w:r>
      <w:r w:rsidR="00F83D94">
        <w:rPr>
          <w:rFonts w:ascii="Bookman Old Style" w:hAnsi="Bookman Old Style"/>
          <w:sz w:val="26"/>
          <w:szCs w:val="26"/>
        </w:rPr>
        <w:t>0/94; artigo 4º, XVII, LC 80/94; artigo 162, XII, da LC 988/2006.</w:t>
      </w:r>
    </w:p>
    <w:p w:rsidR="00675AEC" w:rsidRDefault="00675AEC" w:rsidP="00675AEC">
      <w:pPr>
        <w:spacing w:line="360" w:lineRule="auto"/>
        <w:ind w:firstLine="567"/>
        <w:jc w:val="both"/>
        <w:rPr>
          <w:rFonts w:ascii="Bookman Old Style" w:hAnsi="Bookman Old Style"/>
          <w:sz w:val="26"/>
          <w:szCs w:val="26"/>
        </w:rPr>
      </w:pPr>
      <w:r>
        <w:rPr>
          <w:rFonts w:ascii="Bookman Old Style" w:hAnsi="Bookman Old Style"/>
          <w:sz w:val="26"/>
          <w:szCs w:val="26"/>
        </w:rPr>
        <w:t>Além de prerrogativa, a realização de visitas às prisões e aos centros de internação se revela verdadeira missão institucional da Defensoria.</w:t>
      </w:r>
      <w:r w:rsidR="00776EFC">
        <w:rPr>
          <w:rFonts w:ascii="Bookman Old Style" w:hAnsi="Bookman Old Style"/>
          <w:sz w:val="26"/>
          <w:szCs w:val="26"/>
        </w:rPr>
        <w:t xml:space="preserve"> Não depende de autorização ou aviso prévio.</w:t>
      </w:r>
    </w:p>
    <w:p w:rsidR="00675AEC" w:rsidRDefault="00675AEC" w:rsidP="00675AEC">
      <w:pPr>
        <w:spacing w:line="360" w:lineRule="auto"/>
        <w:ind w:firstLine="567"/>
        <w:jc w:val="both"/>
        <w:rPr>
          <w:rFonts w:ascii="Bookman Old Style" w:hAnsi="Bookman Old Style"/>
          <w:sz w:val="26"/>
          <w:szCs w:val="26"/>
        </w:rPr>
      </w:pPr>
      <w:r>
        <w:rPr>
          <w:rFonts w:ascii="Bookman Old Style" w:hAnsi="Bookman Old Style"/>
          <w:sz w:val="26"/>
          <w:szCs w:val="26"/>
        </w:rPr>
        <w:t xml:space="preserve">Pessoas presas são indivíduos em situação de vulnerabilidade, uma vez que </w:t>
      </w:r>
      <w:proofErr w:type="gramStart"/>
      <w:r>
        <w:rPr>
          <w:rFonts w:ascii="Bookman Old Style" w:hAnsi="Bookman Old Style"/>
          <w:sz w:val="26"/>
          <w:szCs w:val="26"/>
        </w:rPr>
        <w:t>têm</w:t>
      </w:r>
      <w:proofErr w:type="gramEnd"/>
      <w:r>
        <w:rPr>
          <w:rFonts w:ascii="Bookman Old Style" w:hAnsi="Bookman Old Style"/>
          <w:sz w:val="26"/>
          <w:szCs w:val="26"/>
        </w:rPr>
        <w:t xml:space="preserve"> um dos direitos fundamentais mais básicos restringido, a liberdade, atraindo a atuação da Defensoria independentemente da condição financeira do réu</w:t>
      </w:r>
      <w:r w:rsidR="00F83D94">
        <w:rPr>
          <w:rFonts w:ascii="Bookman Old Style" w:hAnsi="Bookman Old Style"/>
          <w:sz w:val="26"/>
          <w:szCs w:val="26"/>
        </w:rPr>
        <w:t xml:space="preserve"> (artigo 4º, XI, da LC 80/94</w:t>
      </w:r>
      <w:r w:rsidR="00A1301B">
        <w:rPr>
          <w:rFonts w:ascii="Bookman Old Style" w:hAnsi="Bookman Old Style"/>
          <w:sz w:val="26"/>
          <w:szCs w:val="26"/>
        </w:rPr>
        <w:t>; artigo 5º, VI, l</w:t>
      </w:r>
      <w:r w:rsidR="00F83D94">
        <w:rPr>
          <w:rFonts w:ascii="Bookman Old Style" w:hAnsi="Bookman Old Style"/>
          <w:sz w:val="26"/>
          <w:szCs w:val="26"/>
        </w:rPr>
        <w:t>, da LC 988/2006)</w:t>
      </w:r>
      <w:r>
        <w:rPr>
          <w:rFonts w:ascii="Bookman Old Style" w:hAnsi="Bookman Old Style"/>
          <w:sz w:val="26"/>
          <w:szCs w:val="26"/>
        </w:rPr>
        <w:t>.</w:t>
      </w:r>
      <w:r w:rsidR="00C5254D">
        <w:rPr>
          <w:rFonts w:ascii="Bookman Old Style" w:hAnsi="Bookman Old Style"/>
          <w:sz w:val="26"/>
          <w:szCs w:val="26"/>
        </w:rPr>
        <w:t xml:space="preserve"> No mesmo sentido, estab</w:t>
      </w:r>
      <w:r w:rsidR="00A1301B">
        <w:rPr>
          <w:rFonts w:ascii="Bookman Old Style" w:hAnsi="Bookman Old Style"/>
          <w:sz w:val="26"/>
          <w:szCs w:val="26"/>
        </w:rPr>
        <w:t>elece a LEP, em seu artigo 81-A.</w:t>
      </w:r>
    </w:p>
    <w:p w:rsidR="00C5254D" w:rsidRDefault="00C5254D" w:rsidP="00675AEC">
      <w:pPr>
        <w:spacing w:line="360" w:lineRule="auto"/>
        <w:ind w:firstLine="567"/>
        <w:jc w:val="both"/>
        <w:rPr>
          <w:rFonts w:ascii="Bookman Old Style" w:hAnsi="Bookman Old Style"/>
          <w:sz w:val="26"/>
          <w:szCs w:val="26"/>
        </w:rPr>
      </w:pPr>
      <w:r>
        <w:rPr>
          <w:rFonts w:ascii="Bookman Old Style" w:hAnsi="Bookman Old Style"/>
          <w:sz w:val="26"/>
          <w:szCs w:val="26"/>
        </w:rPr>
        <w:t xml:space="preserve">Igualmente, o artigo 81-B, §ú, da LEP, determina a função da Defensoria de visitar regularmente os presídios. </w:t>
      </w:r>
    </w:p>
    <w:p w:rsidR="00C5254D" w:rsidRDefault="00C5254D" w:rsidP="00675AEC">
      <w:pPr>
        <w:spacing w:line="360" w:lineRule="auto"/>
        <w:ind w:firstLine="567"/>
        <w:jc w:val="both"/>
        <w:rPr>
          <w:rFonts w:ascii="Bookman Old Style" w:hAnsi="Bookman Old Style"/>
          <w:sz w:val="26"/>
          <w:szCs w:val="26"/>
        </w:rPr>
      </w:pPr>
      <w:r>
        <w:rPr>
          <w:rFonts w:ascii="Bookman Old Style" w:hAnsi="Bookman Old Style"/>
          <w:sz w:val="26"/>
          <w:szCs w:val="26"/>
        </w:rPr>
        <w:t>A inobservância de direitos basilares na execução da pena, tais como deficiências nas instalações, na alimentação, na higiene, no fornecimento de água, entre outros aspectos, viola a dignidade do preso. Verificando isso, o defensor público deve fazer uso dos meios cabíveis para enfrentar a situação.</w:t>
      </w:r>
    </w:p>
    <w:p w:rsidR="00C5254D" w:rsidRDefault="00C5254D" w:rsidP="00675AEC">
      <w:pPr>
        <w:spacing w:line="360" w:lineRule="auto"/>
        <w:ind w:firstLine="567"/>
        <w:jc w:val="both"/>
        <w:rPr>
          <w:rFonts w:ascii="Bookman Old Style" w:hAnsi="Bookman Old Style"/>
          <w:sz w:val="26"/>
          <w:szCs w:val="26"/>
        </w:rPr>
      </w:pPr>
      <w:r>
        <w:rPr>
          <w:rFonts w:ascii="Bookman Old Style" w:hAnsi="Bookman Old Style"/>
          <w:sz w:val="26"/>
          <w:szCs w:val="26"/>
        </w:rPr>
        <w:t xml:space="preserve">Uma possibilidade é o manejo de ação de desvio ou excesso na execução, na forma do artigo 185, da LEP. Contudo, a forma mais célere e eficaz é o manejo do </w:t>
      </w:r>
      <w:r>
        <w:rPr>
          <w:rFonts w:ascii="Bookman Old Style" w:hAnsi="Bookman Old Style"/>
          <w:i/>
          <w:sz w:val="26"/>
          <w:szCs w:val="26"/>
        </w:rPr>
        <w:t xml:space="preserve">Habeas Corpus </w:t>
      </w:r>
      <w:r>
        <w:rPr>
          <w:rFonts w:ascii="Bookman Old Style" w:hAnsi="Bookman Old Style"/>
          <w:sz w:val="26"/>
          <w:szCs w:val="26"/>
        </w:rPr>
        <w:t>coletivo, já reconhecido como ferramenta válida pelo STF. Artigo 25, Pacto de San José da Costa Rica</w:t>
      </w:r>
      <w:r w:rsidR="00A1301B">
        <w:rPr>
          <w:rFonts w:ascii="Bookman Old Style" w:hAnsi="Bookman Old Style"/>
          <w:sz w:val="26"/>
          <w:szCs w:val="26"/>
        </w:rPr>
        <w:t>, bem como com base no artigo 5º, XXXV, da CF, sendo certo que as garantias fundamentais devem ser interpretadas extensivamente.</w:t>
      </w:r>
    </w:p>
    <w:p w:rsidR="00776EFC" w:rsidRDefault="00776EFC" w:rsidP="00776EFC">
      <w:pPr>
        <w:spacing w:line="360" w:lineRule="auto"/>
        <w:ind w:firstLine="567"/>
        <w:jc w:val="both"/>
        <w:rPr>
          <w:rFonts w:ascii="Bookman Old Style" w:hAnsi="Bookman Old Style"/>
          <w:b/>
          <w:sz w:val="26"/>
          <w:szCs w:val="26"/>
        </w:rPr>
      </w:pPr>
      <w:r w:rsidRPr="00776EFC">
        <w:rPr>
          <w:rFonts w:ascii="Bookman Old Style" w:hAnsi="Bookman Old Style"/>
          <w:b/>
          <w:sz w:val="26"/>
          <w:szCs w:val="26"/>
        </w:rPr>
        <w:lastRenderedPageBreak/>
        <w:t>I)</w:t>
      </w:r>
      <w:r>
        <w:rPr>
          <w:rFonts w:ascii="Bookman Old Style" w:hAnsi="Bookman Old Style"/>
          <w:b/>
          <w:sz w:val="26"/>
          <w:szCs w:val="26"/>
        </w:rPr>
        <w:t xml:space="preserve"> ACESSO A PROCESSOS E PROCEDIMENTOS.</w:t>
      </w:r>
    </w:p>
    <w:p w:rsidR="00776EFC" w:rsidRDefault="00776EFC" w:rsidP="00776EFC">
      <w:pPr>
        <w:spacing w:line="360" w:lineRule="auto"/>
        <w:ind w:firstLine="567"/>
        <w:jc w:val="both"/>
        <w:rPr>
          <w:rFonts w:ascii="Bookman Old Style" w:hAnsi="Bookman Old Style"/>
          <w:sz w:val="26"/>
          <w:szCs w:val="26"/>
        </w:rPr>
      </w:pPr>
      <w:r>
        <w:rPr>
          <w:rFonts w:ascii="Bookman Old Style" w:hAnsi="Bookman Old Style"/>
          <w:sz w:val="26"/>
          <w:szCs w:val="26"/>
        </w:rPr>
        <w:t>Previsões legais: artigo 44, VIII</w:t>
      </w:r>
      <w:r w:rsidRPr="00776EFC">
        <w:rPr>
          <w:rFonts w:ascii="Bookman Old Style" w:hAnsi="Bookman Old Style"/>
          <w:sz w:val="26"/>
          <w:szCs w:val="26"/>
        </w:rPr>
        <w:t xml:space="preserve">, LC 80/1994 (DPU); artigo 89, </w:t>
      </w:r>
      <w:r>
        <w:rPr>
          <w:rFonts w:ascii="Bookman Old Style" w:hAnsi="Bookman Old Style"/>
          <w:sz w:val="26"/>
          <w:szCs w:val="26"/>
        </w:rPr>
        <w:t>VII</w:t>
      </w:r>
      <w:r w:rsidRPr="00776EFC">
        <w:rPr>
          <w:rFonts w:ascii="Bookman Old Style" w:hAnsi="Bookman Old Style"/>
          <w:sz w:val="26"/>
          <w:szCs w:val="26"/>
        </w:rPr>
        <w:t xml:space="preserve">I, LC 80/1994 (DPDFT); artigo 128, </w:t>
      </w:r>
      <w:r>
        <w:rPr>
          <w:rFonts w:ascii="Bookman Old Style" w:hAnsi="Bookman Old Style"/>
          <w:sz w:val="26"/>
          <w:szCs w:val="26"/>
        </w:rPr>
        <w:t>VII</w:t>
      </w:r>
      <w:r w:rsidRPr="00776EFC">
        <w:rPr>
          <w:rFonts w:ascii="Bookman Old Style" w:hAnsi="Bookman Old Style"/>
          <w:sz w:val="26"/>
          <w:szCs w:val="26"/>
        </w:rPr>
        <w:t>I, LC 80/1994 (</w:t>
      </w:r>
      <w:proofErr w:type="spellStart"/>
      <w:r w:rsidRPr="00776EFC">
        <w:rPr>
          <w:rFonts w:ascii="Bookman Old Style" w:hAnsi="Bookman Old Style"/>
          <w:sz w:val="26"/>
          <w:szCs w:val="26"/>
        </w:rPr>
        <w:t>DPEs</w:t>
      </w:r>
      <w:proofErr w:type="spellEnd"/>
      <w:r w:rsidRPr="00776EFC">
        <w:rPr>
          <w:rFonts w:ascii="Bookman Old Style" w:hAnsi="Bookman Old Style"/>
          <w:sz w:val="26"/>
          <w:szCs w:val="26"/>
        </w:rPr>
        <w:t>)</w:t>
      </w:r>
      <w:r>
        <w:rPr>
          <w:rFonts w:ascii="Bookman Old Style" w:hAnsi="Bookman Old Style"/>
          <w:sz w:val="26"/>
          <w:szCs w:val="26"/>
        </w:rPr>
        <w:t>; artigo 162, II, da LC 988/2006 SP.</w:t>
      </w:r>
    </w:p>
    <w:p w:rsidR="00017CA5" w:rsidRDefault="00017CA5" w:rsidP="00776EFC">
      <w:pPr>
        <w:spacing w:line="360" w:lineRule="auto"/>
        <w:ind w:firstLine="567"/>
        <w:jc w:val="both"/>
        <w:rPr>
          <w:rFonts w:ascii="Bookman Old Style" w:hAnsi="Bookman Old Style"/>
          <w:sz w:val="26"/>
          <w:szCs w:val="26"/>
        </w:rPr>
      </w:pPr>
      <w:r>
        <w:rPr>
          <w:rFonts w:ascii="Bookman Old Style" w:hAnsi="Bookman Old Style"/>
          <w:sz w:val="26"/>
          <w:szCs w:val="26"/>
        </w:rPr>
        <w:t xml:space="preserve">Inicialmente, lembremos que o vínculo do defensor e da parte assistida é </w:t>
      </w:r>
      <w:r w:rsidRPr="00E303EA">
        <w:rPr>
          <w:rFonts w:ascii="Bookman Old Style" w:hAnsi="Bookman Old Style"/>
          <w:b/>
          <w:sz w:val="26"/>
          <w:szCs w:val="26"/>
        </w:rPr>
        <w:t>público e institucional,</w:t>
      </w:r>
      <w:r>
        <w:rPr>
          <w:rFonts w:ascii="Bookman Old Style" w:hAnsi="Bookman Old Style"/>
          <w:sz w:val="26"/>
          <w:szCs w:val="26"/>
        </w:rPr>
        <w:t xml:space="preserve"> não dependendo de procuração para atuar, salvo em relação aos atos que necessitam de poderes especiais, quando a parte assinará o documento juntamente ao defensor. Assim, para ter acesso a processos e procedimentos, o defensor não precisa mostrar procuração.</w:t>
      </w:r>
    </w:p>
    <w:p w:rsidR="008C0ACB" w:rsidRDefault="008C0ACB" w:rsidP="00776EFC">
      <w:pPr>
        <w:spacing w:line="360" w:lineRule="auto"/>
        <w:ind w:firstLine="567"/>
        <w:jc w:val="both"/>
        <w:rPr>
          <w:rFonts w:ascii="Bookman Old Style" w:hAnsi="Bookman Old Style"/>
          <w:sz w:val="26"/>
          <w:szCs w:val="26"/>
        </w:rPr>
      </w:pPr>
      <w:r>
        <w:rPr>
          <w:rFonts w:ascii="Bookman Old Style" w:hAnsi="Bookman Old Style"/>
          <w:sz w:val="26"/>
          <w:szCs w:val="26"/>
        </w:rPr>
        <w:t>Tradicionalmente, no que se refere às características do inquérito policial, estudamos que ele é sigiloso. Contudo, esse sigilo deve ser entendido em termos, mas não de forma ampla, especialmente, quando pretendemos adotar o sistema acusatório em nosso país, em que a regra é a publicidade de todo o processo ou procedimento.</w:t>
      </w:r>
    </w:p>
    <w:p w:rsidR="008C0ACB" w:rsidRDefault="008C0ACB" w:rsidP="00776EFC">
      <w:pPr>
        <w:spacing w:line="360" w:lineRule="auto"/>
        <w:ind w:firstLine="567"/>
        <w:jc w:val="both"/>
        <w:rPr>
          <w:rFonts w:ascii="Bookman Old Style" w:hAnsi="Bookman Old Style"/>
          <w:sz w:val="26"/>
          <w:szCs w:val="26"/>
        </w:rPr>
      </w:pPr>
      <w:r>
        <w:rPr>
          <w:rFonts w:ascii="Bookman Old Style" w:hAnsi="Bookman Old Style"/>
          <w:sz w:val="26"/>
          <w:szCs w:val="26"/>
        </w:rPr>
        <w:t>O inquérito somente será sigiloso n</w:t>
      </w:r>
      <w:r w:rsidR="00017CA5">
        <w:rPr>
          <w:rFonts w:ascii="Bookman Old Style" w:hAnsi="Bookman Old Style"/>
          <w:sz w:val="26"/>
          <w:szCs w:val="26"/>
        </w:rPr>
        <w:t>a medida em que tal sigilo se fi</w:t>
      </w:r>
      <w:r>
        <w:rPr>
          <w:rFonts w:ascii="Bookman Old Style" w:hAnsi="Bookman Old Style"/>
          <w:sz w:val="26"/>
          <w:szCs w:val="26"/>
        </w:rPr>
        <w:t>z</w:t>
      </w:r>
      <w:r w:rsidR="00017CA5">
        <w:rPr>
          <w:rFonts w:ascii="Bookman Old Style" w:hAnsi="Bookman Old Style"/>
          <w:sz w:val="26"/>
          <w:szCs w:val="26"/>
        </w:rPr>
        <w:t>er</w:t>
      </w:r>
      <w:r>
        <w:rPr>
          <w:rFonts w:ascii="Bookman Old Style" w:hAnsi="Bookman Old Style"/>
          <w:sz w:val="26"/>
          <w:szCs w:val="26"/>
        </w:rPr>
        <w:t xml:space="preserve"> essencial para o sucesso de investigações em andamento. Assim, enquanto medidas investigatórias estão sendo realizadas, quanto a elas, o sigilo permanece, não sendo franqueado o acesso mesmo ao defensor público. </w:t>
      </w:r>
    </w:p>
    <w:p w:rsidR="008C0ACB" w:rsidRDefault="008C0ACB" w:rsidP="00776EFC">
      <w:pPr>
        <w:spacing w:line="360" w:lineRule="auto"/>
        <w:ind w:firstLine="567"/>
        <w:jc w:val="both"/>
        <w:rPr>
          <w:rFonts w:ascii="Bookman Old Style" w:hAnsi="Bookman Old Style"/>
          <w:sz w:val="26"/>
          <w:szCs w:val="26"/>
        </w:rPr>
      </w:pPr>
      <w:r>
        <w:rPr>
          <w:rFonts w:ascii="Bookman Old Style" w:hAnsi="Bookman Old Style"/>
          <w:sz w:val="26"/>
          <w:szCs w:val="26"/>
        </w:rPr>
        <w:t>Suponhamos a determinação da medida de interceptação telefônica com autorização judicial. Durante o período de realização da interceptação, é essencial manter o sigilo, especialmente, para a pessoa investigada, sob o risco de total esvaziamento</w:t>
      </w:r>
      <w:r w:rsidR="00017CA5">
        <w:rPr>
          <w:rFonts w:ascii="Bookman Old Style" w:hAnsi="Bookman Old Style"/>
          <w:sz w:val="26"/>
          <w:szCs w:val="26"/>
        </w:rPr>
        <w:t xml:space="preserve"> da diligência.</w:t>
      </w:r>
    </w:p>
    <w:p w:rsidR="00017CA5" w:rsidRDefault="00017CA5" w:rsidP="00776EFC">
      <w:pPr>
        <w:spacing w:line="360" w:lineRule="auto"/>
        <w:ind w:firstLine="567"/>
        <w:jc w:val="both"/>
        <w:rPr>
          <w:rFonts w:ascii="Bookman Old Style" w:hAnsi="Bookman Old Style"/>
          <w:sz w:val="26"/>
          <w:szCs w:val="26"/>
        </w:rPr>
      </w:pPr>
      <w:r>
        <w:rPr>
          <w:rFonts w:ascii="Bookman Old Style" w:hAnsi="Bookman Old Style"/>
          <w:sz w:val="26"/>
          <w:szCs w:val="26"/>
        </w:rPr>
        <w:t xml:space="preserve">Por outro lado, terminada determinada medida investigatória e relatada nos autos do procedimento investigatório, a pessoa </w:t>
      </w:r>
      <w:r>
        <w:rPr>
          <w:rFonts w:ascii="Bookman Old Style" w:hAnsi="Bookman Old Style"/>
          <w:sz w:val="26"/>
          <w:szCs w:val="26"/>
        </w:rPr>
        <w:lastRenderedPageBreak/>
        <w:t>investigada ou indiciada, assim como seu advogado ou o defensor público, passam a ter total acesso ao resultado da medida.</w:t>
      </w:r>
    </w:p>
    <w:p w:rsidR="00017CA5" w:rsidRDefault="00017CA5" w:rsidP="00017CA5">
      <w:pPr>
        <w:spacing w:line="360" w:lineRule="auto"/>
        <w:ind w:firstLine="567"/>
        <w:jc w:val="both"/>
        <w:rPr>
          <w:rFonts w:ascii="Bookman Old Style" w:hAnsi="Bookman Old Style"/>
          <w:sz w:val="26"/>
          <w:szCs w:val="26"/>
        </w:rPr>
      </w:pPr>
      <w:r>
        <w:rPr>
          <w:rFonts w:ascii="Bookman Old Style" w:hAnsi="Bookman Old Style"/>
          <w:sz w:val="26"/>
          <w:szCs w:val="26"/>
        </w:rPr>
        <w:t xml:space="preserve">Portanto, chegamos à seguinte conclusão: o defensor público deve ter total acesso a inquérito, quanto a medidas investigatórias terminadas e/ou relatadas, mas, </w:t>
      </w:r>
      <w:r w:rsidRPr="00E303EA">
        <w:rPr>
          <w:rFonts w:ascii="Bookman Old Style" w:hAnsi="Bookman Old Style"/>
          <w:b/>
          <w:sz w:val="26"/>
          <w:szCs w:val="26"/>
        </w:rPr>
        <w:t>em relação a medidas investigatórias ainda em andamento, mantém-se a regra do sigilo</w:t>
      </w:r>
      <w:r>
        <w:rPr>
          <w:rFonts w:ascii="Bookman Old Style" w:hAnsi="Bookman Old Style"/>
          <w:sz w:val="26"/>
          <w:szCs w:val="26"/>
        </w:rPr>
        <w:t>, como forma de manter a própria utilidade da investigação.</w:t>
      </w:r>
    </w:p>
    <w:p w:rsidR="00DC639D" w:rsidRDefault="00DC639D" w:rsidP="00DC639D">
      <w:pPr>
        <w:spacing w:line="360" w:lineRule="auto"/>
        <w:ind w:firstLine="567"/>
        <w:jc w:val="both"/>
        <w:rPr>
          <w:rFonts w:ascii="Bookman Old Style" w:hAnsi="Bookman Old Style"/>
          <w:sz w:val="26"/>
          <w:szCs w:val="26"/>
        </w:rPr>
      </w:pPr>
      <w:r>
        <w:rPr>
          <w:rFonts w:ascii="Bookman Old Style" w:hAnsi="Bookman Old Style"/>
          <w:sz w:val="26"/>
          <w:szCs w:val="26"/>
        </w:rPr>
        <w:t xml:space="preserve">Em relação aos processos penais, a </w:t>
      </w:r>
      <w:r w:rsidRPr="00E303EA">
        <w:rPr>
          <w:rFonts w:ascii="Bookman Old Style" w:hAnsi="Bookman Old Style"/>
          <w:b/>
          <w:sz w:val="26"/>
          <w:szCs w:val="26"/>
        </w:rPr>
        <w:t>regra é a publicidade</w:t>
      </w:r>
      <w:r>
        <w:rPr>
          <w:rFonts w:ascii="Bookman Old Style" w:hAnsi="Bookman Old Style"/>
          <w:sz w:val="26"/>
          <w:szCs w:val="26"/>
        </w:rPr>
        <w:t xml:space="preserve">, conforme determina expressamente o artigo 5º, LX, da CF, bem como o artigo 8º, item </w:t>
      </w:r>
      <w:proofErr w:type="gramStart"/>
      <w:r>
        <w:rPr>
          <w:rFonts w:ascii="Bookman Old Style" w:hAnsi="Bookman Old Style"/>
          <w:sz w:val="26"/>
          <w:szCs w:val="26"/>
        </w:rPr>
        <w:t>5</w:t>
      </w:r>
      <w:proofErr w:type="gramEnd"/>
      <w:r>
        <w:rPr>
          <w:rFonts w:ascii="Bookman Old Style" w:hAnsi="Bookman Old Style"/>
          <w:sz w:val="26"/>
          <w:szCs w:val="26"/>
        </w:rPr>
        <w:t>, do Pacto de San José da Costa Rica.</w:t>
      </w:r>
    </w:p>
    <w:p w:rsidR="008C0ACB" w:rsidRDefault="008C0ACB" w:rsidP="00DC639D">
      <w:pPr>
        <w:spacing w:line="360" w:lineRule="auto"/>
        <w:ind w:firstLine="567"/>
        <w:jc w:val="both"/>
        <w:rPr>
          <w:rFonts w:ascii="Bookman Old Style" w:hAnsi="Bookman Old Style"/>
          <w:sz w:val="26"/>
          <w:szCs w:val="26"/>
        </w:rPr>
      </w:pPr>
      <w:r>
        <w:rPr>
          <w:rFonts w:ascii="Bookman Old Style" w:hAnsi="Bookman Old Style"/>
          <w:sz w:val="26"/>
          <w:szCs w:val="26"/>
        </w:rPr>
        <w:t>Somente em casos excepcionais, o sigilo será aplicado, notadamente, nos casos em que é necessária a proteção da intimidade da víti</w:t>
      </w:r>
      <w:r w:rsidR="00017CA5">
        <w:rPr>
          <w:rFonts w:ascii="Bookman Old Style" w:hAnsi="Bookman Old Style"/>
          <w:sz w:val="26"/>
          <w:szCs w:val="26"/>
        </w:rPr>
        <w:t>ma em casos de violência sexual,</w:t>
      </w:r>
      <w:r>
        <w:rPr>
          <w:rFonts w:ascii="Bookman Old Style" w:hAnsi="Bookman Old Style"/>
          <w:sz w:val="26"/>
          <w:szCs w:val="26"/>
        </w:rPr>
        <w:t xml:space="preserve"> quando existe a necessidade de proteção de dados sigilosos dentro do processo penal ou</w:t>
      </w:r>
      <w:r w:rsidR="00017CA5">
        <w:rPr>
          <w:rFonts w:ascii="Bookman Old Style" w:hAnsi="Bookman Old Style"/>
          <w:sz w:val="26"/>
          <w:szCs w:val="26"/>
        </w:rPr>
        <w:t xml:space="preserve"> em processos de apuração de ato infracional.</w:t>
      </w:r>
    </w:p>
    <w:p w:rsidR="00017CA5" w:rsidRDefault="00017CA5" w:rsidP="00DC639D">
      <w:pPr>
        <w:spacing w:line="360" w:lineRule="auto"/>
        <w:ind w:firstLine="567"/>
        <w:jc w:val="both"/>
        <w:rPr>
          <w:rFonts w:ascii="Bookman Old Style" w:hAnsi="Bookman Old Style"/>
          <w:sz w:val="26"/>
          <w:szCs w:val="26"/>
        </w:rPr>
      </w:pPr>
      <w:r>
        <w:rPr>
          <w:rFonts w:ascii="Bookman Old Style" w:hAnsi="Bookman Old Style"/>
          <w:sz w:val="26"/>
          <w:szCs w:val="26"/>
        </w:rPr>
        <w:t>Nesses casos, a regra é a publicidade interna do processo ou procedimento inves</w:t>
      </w:r>
      <w:r w:rsidR="00A214B5">
        <w:rPr>
          <w:rFonts w:ascii="Bookman Old Style" w:hAnsi="Bookman Old Style"/>
          <w:sz w:val="26"/>
          <w:szCs w:val="26"/>
        </w:rPr>
        <w:t xml:space="preserve">tigatório. Na </w:t>
      </w:r>
      <w:r w:rsidR="00A214B5" w:rsidRPr="00E303EA">
        <w:rPr>
          <w:rFonts w:ascii="Bookman Old Style" w:hAnsi="Bookman Old Style"/>
          <w:b/>
          <w:sz w:val="26"/>
          <w:szCs w:val="26"/>
        </w:rPr>
        <w:t>publicidade interna</w:t>
      </w:r>
      <w:r w:rsidR="00A214B5">
        <w:rPr>
          <w:rFonts w:ascii="Bookman Old Style" w:hAnsi="Bookman Old Style"/>
          <w:sz w:val="26"/>
          <w:szCs w:val="26"/>
        </w:rPr>
        <w:t>, o acesso aos autos é franqueado apenas às partes do processo ou procedimento, mas não à sociedade em geral. Não há, portanto, publicidade externa dos autos.</w:t>
      </w:r>
    </w:p>
    <w:p w:rsidR="00A214B5" w:rsidRDefault="00A214B5" w:rsidP="00DC639D">
      <w:pPr>
        <w:spacing w:line="360" w:lineRule="auto"/>
        <w:ind w:firstLine="567"/>
        <w:jc w:val="both"/>
        <w:rPr>
          <w:rFonts w:ascii="Bookman Old Style" w:hAnsi="Bookman Old Style"/>
          <w:sz w:val="26"/>
          <w:szCs w:val="26"/>
        </w:rPr>
      </w:pPr>
      <w:r>
        <w:rPr>
          <w:rFonts w:ascii="Bookman Old Style" w:hAnsi="Bookman Old Style"/>
          <w:sz w:val="26"/>
          <w:szCs w:val="26"/>
        </w:rPr>
        <w:t xml:space="preserve">Isso é importante para entender a prerrogativa do defensor público de acesso a processos e procedimentos. Quando houver alguma necessidade sigilo, como nos casos acima tratados, </w:t>
      </w:r>
      <w:r w:rsidRPr="00E303EA">
        <w:rPr>
          <w:rFonts w:ascii="Bookman Old Style" w:hAnsi="Bookman Old Style"/>
          <w:b/>
          <w:sz w:val="26"/>
          <w:szCs w:val="26"/>
        </w:rPr>
        <w:t>apenas o defensor com atribuição</w:t>
      </w:r>
      <w:r>
        <w:rPr>
          <w:rFonts w:ascii="Bookman Old Style" w:hAnsi="Bookman Old Style"/>
          <w:sz w:val="26"/>
          <w:szCs w:val="26"/>
        </w:rPr>
        <w:t xml:space="preserve"> para atuar naquela causa é quem poderá ter acesso aos autos, mas não qualquer defensor.</w:t>
      </w:r>
    </w:p>
    <w:p w:rsidR="00A214B5" w:rsidRDefault="00A214B5" w:rsidP="00DC639D">
      <w:pPr>
        <w:spacing w:line="360" w:lineRule="auto"/>
        <w:ind w:firstLine="567"/>
        <w:jc w:val="both"/>
        <w:rPr>
          <w:rFonts w:ascii="Bookman Old Style" w:hAnsi="Bookman Old Style"/>
          <w:sz w:val="26"/>
          <w:szCs w:val="26"/>
        </w:rPr>
      </w:pPr>
      <w:r>
        <w:rPr>
          <w:rFonts w:ascii="Bookman Old Style" w:hAnsi="Bookman Old Style"/>
          <w:sz w:val="26"/>
          <w:szCs w:val="26"/>
        </w:rPr>
        <w:t xml:space="preserve">Mas uma ressalva deve ser feita, no caso de proteção de dados sigilosos no processo penal. Nesse caso, como a proteção de intimidade abrange apenas esses dados, mas não todo o processo </w:t>
      </w:r>
      <w:r>
        <w:rPr>
          <w:rFonts w:ascii="Bookman Old Style" w:hAnsi="Bookman Old Style"/>
          <w:sz w:val="26"/>
          <w:szCs w:val="26"/>
        </w:rPr>
        <w:lastRenderedPageBreak/>
        <w:t>penal em que se encontram encartados, a publicidade de todo o processo deve ser garantida a todos, salvo no que se refere aos dados protegidos. Assim, pode-se ter acesso a todo o processo, menos aos dados protegidos por sigilo (ex.: sigilo fiscal, conversas telefônicas).</w:t>
      </w:r>
    </w:p>
    <w:p w:rsidR="00A214B5" w:rsidRDefault="00E303EA" w:rsidP="00DC639D">
      <w:pPr>
        <w:spacing w:line="360" w:lineRule="auto"/>
        <w:ind w:firstLine="567"/>
        <w:jc w:val="both"/>
        <w:rPr>
          <w:rFonts w:ascii="Bookman Old Style" w:hAnsi="Bookman Old Style"/>
          <w:sz w:val="26"/>
          <w:szCs w:val="26"/>
        </w:rPr>
      </w:pPr>
      <w:r>
        <w:rPr>
          <w:rFonts w:ascii="Bookman Old Style" w:hAnsi="Bookman Old Style"/>
          <w:sz w:val="26"/>
          <w:szCs w:val="26"/>
        </w:rPr>
        <w:t xml:space="preserve">Por fim, mais uma exceção se afigura cabível de análise. A jurisprudência admite o uso de informações protegidas por sigilo em processos criminais como </w:t>
      </w:r>
      <w:r w:rsidRPr="00E303EA">
        <w:rPr>
          <w:rFonts w:ascii="Bookman Old Style" w:hAnsi="Bookman Old Style"/>
          <w:b/>
          <w:sz w:val="26"/>
          <w:szCs w:val="26"/>
        </w:rPr>
        <w:t>prova emprestada</w:t>
      </w:r>
      <w:r>
        <w:rPr>
          <w:rFonts w:ascii="Bookman Old Style" w:hAnsi="Bookman Old Style"/>
          <w:sz w:val="26"/>
          <w:szCs w:val="26"/>
        </w:rPr>
        <w:t xml:space="preserve"> em processos coletivos ou cíveis indenizatórios, com base na argumentação de que os dados foram inicialmente obtidos para o processo penal, não havendo violação do artigo 5º, XII, da CF. Nesse contexto, portanto, é possível o acesso a esses dados pelo defensor público com atribuição nessas outras áreas.</w:t>
      </w:r>
    </w:p>
    <w:p w:rsidR="00A97C10" w:rsidRDefault="00A97C10" w:rsidP="00DC639D">
      <w:pPr>
        <w:spacing w:line="360" w:lineRule="auto"/>
        <w:ind w:firstLine="567"/>
        <w:jc w:val="both"/>
        <w:rPr>
          <w:rFonts w:ascii="Bookman Old Style" w:hAnsi="Bookman Old Style"/>
          <w:sz w:val="26"/>
          <w:szCs w:val="26"/>
        </w:rPr>
      </w:pPr>
      <w:r>
        <w:rPr>
          <w:rFonts w:ascii="Bookman Old Style" w:hAnsi="Bookman Old Style"/>
          <w:sz w:val="26"/>
          <w:szCs w:val="26"/>
        </w:rPr>
        <w:t>Por fim, apesar da LC de São Paulo parecer restringir o acesso apenas a processos e procedimentos em trâmite na esfera estadual, a LC nacional não faz tal restrição. Portanto, não há qualquer limitação de acesso apenas à esfera estadual.</w:t>
      </w:r>
    </w:p>
    <w:p w:rsidR="00E303EA" w:rsidRDefault="00E303EA" w:rsidP="00DC639D">
      <w:pPr>
        <w:spacing w:line="360" w:lineRule="auto"/>
        <w:ind w:firstLine="567"/>
        <w:jc w:val="both"/>
        <w:rPr>
          <w:rFonts w:ascii="Bookman Old Style" w:hAnsi="Bookman Old Style"/>
          <w:b/>
          <w:sz w:val="26"/>
          <w:szCs w:val="26"/>
        </w:rPr>
      </w:pPr>
      <w:r>
        <w:rPr>
          <w:rFonts w:ascii="Bookman Old Style" w:hAnsi="Bookman Old Style"/>
          <w:b/>
          <w:sz w:val="26"/>
          <w:szCs w:val="26"/>
        </w:rPr>
        <w:t>J) REQUISIÇÃO DE DOCUMENTOS E PERÍCIAS.</w:t>
      </w:r>
    </w:p>
    <w:p w:rsidR="00E303EA" w:rsidRDefault="00B20ACC" w:rsidP="00DC639D">
      <w:pPr>
        <w:spacing w:line="360" w:lineRule="auto"/>
        <w:ind w:firstLine="567"/>
        <w:jc w:val="both"/>
        <w:rPr>
          <w:rFonts w:ascii="Bookman Old Style" w:hAnsi="Bookman Old Style"/>
          <w:sz w:val="26"/>
          <w:szCs w:val="26"/>
        </w:rPr>
      </w:pPr>
      <w:r>
        <w:rPr>
          <w:rFonts w:ascii="Bookman Old Style" w:hAnsi="Bookman Old Style"/>
          <w:sz w:val="26"/>
          <w:szCs w:val="26"/>
        </w:rPr>
        <w:t>Previsões legais: artigo 44, X</w:t>
      </w:r>
      <w:r w:rsidRPr="00B20ACC">
        <w:rPr>
          <w:rFonts w:ascii="Bookman Old Style" w:hAnsi="Bookman Old Style"/>
          <w:sz w:val="26"/>
          <w:szCs w:val="26"/>
        </w:rPr>
        <w:t>, L</w:t>
      </w:r>
      <w:r>
        <w:rPr>
          <w:rFonts w:ascii="Bookman Old Style" w:hAnsi="Bookman Old Style"/>
          <w:sz w:val="26"/>
          <w:szCs w:val="26"/>
        </w:rPr>
        <w:t>C 80/1994 (DPU); artigo 89, X</w:t>
      </w:r>
      <w:r w:rsidRPr="00B20ACC">
        <w:rPr>
          <w:rFonts w:ascii="Bookman Old Style" w:hAnsi="Bookman Old Style"/>
          <w:sz w:val="26"/>
          <w:szCs w:val="26"/>
        </w:rPr>
        <w:t>, LC 8</w:t>
      </w:r>
      <w:r>
        <w:rPr>
          <w:rFonts w:ascii="Bookman Old Style" w:hAnsi="Bookman Old Style"/>
          <w:sz w:val="26"/>
          <w:szCs w:val="26"/>
        </w:rPr>
        <w:t>0/1994 (DPDFT); artigo 128, X</w:t>
      </w:r>
      <w:r w:rsidRPr="00B20ACC">
        <w:rPr>
          <w:rFonts w:ascii="Bookman Old Style" w:hAnsi="Bookman Old Style"/>
          <w:sz w:val="26"/>
          <w:szCs w:val="26"/>
        </w:rPr>
        <w:t>, LC 80/1994 (</w:t>
      </w:r>
      <w:proofErr w:type="spellStart"/>
      <w:r w:rsidRPr="00B20ACC">
        <w:rPr>
          <w:rFonts w:ascii="Bookman Old Style" w:hAnsi="Bookman Old Style"/>
          <w:sz w:val="26"/>
          <w:szCs w:val="26"/>
        </w:rPr>
        <w:t>DPEs</w:t>
      </w:r>
      <w:proofErr w:type="spellEnd"/>
      <w:r w:rsidRPr="00B20ACC">
        <w:rPr>
          <w:rFonts w:ascii="Bookman Old Style" w:hAnsi="Bookman Old Style"/>
          <w:sz w:val="26"/>
          <w:szCs w:val="26"/>
        </w:rPr>
        <w:t>);</w:t>
      </w:r>
      <w:r>
        <w:rPr>
          <w:rFonts w:ascii="Bookman Old Style" w:hAnsi="Bookman Old Style"/>
          <w:sz w:val="26"/>
          <w:szCs w:val="26"/>
        </w:rPr>
        <w:t xml:space="preserve"> artigo 162, IV, LC 988/2006 SP.</w:t>
      </w:r>
    </w:p>
    <w:p w:rsidR="00B20ACC" w:rsidRDefault="00B20ACC" w:rsidP="00DC639D">
      <w:pPr>
        <w:spacing w:line="360" w:lineRule="auto"/>
        <w:ind w:firstLine="567"/>
        <w:jc w:val="both"/>
        <w:rPr>
          <w:rFonts w:ascii="Bookman Old Style" w:hAnsi="Bookman Old Style"/>
          <w:sz w:val="26"/>
          <w:szCs w:val="26"/>
        </w:rPr>
      </w:pPr>
      <w:r>
        <w:rPr>
          <w:rFonts w:ascii="Bookman Old Style" w:hAnsi="Bookman Old Style"/>
          <w:sz w:val="26"/>
          <w:szCs w:val="26"/>
        </w:rPr>
        <w:t xml:space="preserve">Inicialmente, destaque-se que o </w:t>
      </w:r>
      <w:r w:rsidRPr="00B20ACC">
        <w:rPr>
          <w:rFonts w:ascii="Bookman Old Style" w:hAnsi="Bookman Old Style"/>
          <w:b/>
          <w:sz w:val="26"/>
          <w:szCs w:val="26"/>
        </w:rPr>
        <w:t>poder de requisição abrange somente órgãos públicos</w:t>
      </w:r>
      <w:r>
        <w:rPr>
          <w:rFonts w:ascii="Bookman Old Style" w:hAnsi="Bookman Old Style"/>
          <w:sz w:val="26"/>
          <w:szCs w:val="26"/>
        </w:rPr>
        <w:t xml:space="preserve">, mas não entidades privadas. Quanto a isso, houve ADI em relação à normativa do Estado do Rio de Janeiro, que ampliou o poder de requisição dos defensores também a entidades privadas. Nessa parte, a ADI foi </w:t>
      </w:r>
      <w:proofErr w:type="gramStart"/>
      <w:r>
        <w:rPr>
          <w:rFonts w:ascii="Bookman Old Style" w:hAnsi="Bookman Old Style"/>
          <w:sz w:val="26"/>
          <w:szCs w:val="26"/>
        </w:rPr>
        <w:t>julgada</w:t>
      </w:r>
      <w:proofErr w:type="gramEnd"/>
      <w:r>
        <w:rPr>
          <w:rFonts w:ascii="Bookman Old Style" w:hAnsi="Bookman Old Style"/>
          <w:sz w:val="26"/>
          <w:szCs w:val="26"/>
        </w:rPr>
        <w:t xml:space="preserve"> procedente, com o argumento de que os defensores não poderiam ter uma prerrogativa que nenhum outro advogado público ou </w:t>
      </w:r>
      <w:r>
        <w:rPr>
          <w:rFonts w:ascii="Bookman Old Style" w:hAnsi="Bookman Old Style"/>
          <w:sz w:val="26"/>
          <w:szCs w:val="26"/>
        </w:rPr>
        <w:lastRenderedPageBreak/>
        <w:t>privado teria. A manutenção da regra transformaria o defensor em um superadvogado.</w:t>
      </w:r>
    </w:p>
    <w:p w:rsidR="00A97C10" w:rsidRDefault="00A97C10" w:rsidP="00DC639D">
      <w:pPr>
        <w:spacing w:line="360" w:lineRule="auto"/>
        <w:ind w:firstLine="567"/>
        <w:jc w:val="both"/>
        <w:rPr>
          <w:rFonts w:ascii="Bookman Old Style" w:hAnsi="Bookman Old Style"/>
          <w:sz w:val="26"/>
          <w:szCs w:val="26"/>
        </w:rPr>
      </w:pPr>
      <w:r>
        <w:rPr>
          <w:rFonts w:ascii="Bookman Old Style" w:hAnsi="Bookman Old Style"/>
          <w:sz w:val="26"/>
          <w:szCs w:val="26"/>
        </w:rPr>
        <w:t>Igualmente, apesar de LC de São Paulo restringir o poder de requisição a órgãos estaduais, importante verificar que a LC nacional não faz tal restrição. Portanto, a prerrogativa é ampla, abrangendo qualquer órgão público.</w:t>
      </w:r>
    </w:p>
    <w:p w:rsidR="00A97C10" w:rsidRDefault="00A97C10" w:rsidP="00DC639D">
      <w:pPr>
        <w:spacing w:line="360" w:lineRule="auto"/>
        <w:ind w:firstLine="567"/>
        <w:jc w:val="both"/>
        <w:rPr>
          <w:rFonts w:ascii="Bookman Old Style" w:hAnsi="Bookman Old Style"/>
          <w:sz w:val="26"/>
          <w:szCs w:val="26"/>
        </w:rPr>
      </w:pPr>
      <w:r>
        <w:rPr>
          <w:rFonts w:ascii="Bookman Old Style" w:hAnsi="Bookman Old Style"/>
          <w:sz w:val="26"/>
          <w:szCs w:val="26"/>
        </w:rPr>
        <w:t xml:space="preserve">Essa prerrogativa se faz muito importante no âmbito do se chama de </w:t>
      </w:r>
      <w:r w:rsidRPr="00DC0843">
        <w:rPr>
          <w:rFonts w:ascii="Bookman Old Style" w:hAnsi="Bookman Old Style"/>
          <w:b/>
          <w:sz w:val="26"/>
          <w:szCs w:val="26"/>
        </w:rPr>
        <w:t>investigação defensiva</w:t>
      </w:r>
      <w:r>
        <w:rPr>
          <w:rFonts w:ascii="Bookman Old Style" w:hAnsi="Bookman Old Style"/>
          <w:sz w:val="26"/>
          <w:szCs w:val="26"/>
        </w:rPr>
        <w:t xml:space="preserve">. Trata-se nada mais que a adoção de medidas pelo defensor público ou advogado para demonstrar que a pessoa investigada ou indiciada não é autora do crime em análise ou que não existe o fato típico. </w:t>
      </w:r>
    </w:p>
    <w:p w:rsidR="00B20ACC" w:rsidRDefault="00B20ACC" w:rsidP="00DC639D">
      <w:pPr>
        <w:spacing w:line="360" w:lineRule="auto"/>
        <w:ind w:firstLine="567"/>
        <w:jc w:val="both"/>
        <w:rPr>
          <w:rFonts w:ascii="Bookman Old Style" w:hAnsi="Bookman Old Style"/>
          <w:sz w:val="26"/>
          <w:szCs w:val="26"/>
        </w:rPr>
      </w:pPr>
      <w:r>
        <w:rPr>
          <w:rFonts w:ascii="Bookman Old Style" w:hAnsi="Bookman Old Style"/>
          <w:sz w:val="26"/>
          <w:szCs w:val="26"/>
        </w:rPr>
        <w:t xml:space="preserve">Em relação a </w:t>
      </w:r>
      <w:r w:rsidRPr="00BA18F2">
        <w:rPr>
          <w:rFonts w:ascii="Bookman Old Style" w:hAnsi="Bookman Old Style"/>
          <w:b/>
          <w:sz w:val="26"/>
          <w:szCs w:val="26"/>
        </w:rPr>
        <w:t>documentos protegidos por sigilo, a prerrogativa não se aplica</w:t>
      </w:r>
      <w:r>
        <w:rPr>
          <w:rFonts w:ascii="Bookman Old Style" w:hAnsi="Bookman Old Style"/>
          <w:sz w:val="26"/>
          <w:szCs w:val="26"/>
        </w:rPr>
        <w:t>. Eles somente podem ser obtidos com autorização judicial, conforme dispõe o artigo 5º, XII, da CF.</w:t>
      </w:r>
    </w:p>
    <w:p w:rsidR="00055A69" w:rsidRDefault="00055A69" w:rsidP="00DC639D">
      <w:pPr>
        <w:spacing w:line="360" w:lineRule="auto"/>
        <w:ind w:firstLine="567"/>
        <w:jc w:val="both"/>
        <w:rPr>
          <w:rFonts w:ascii="Bookman Old Style" w:hAnsi="Bookman Old Style"/>
          <w:sz w:val="26"/>
          <w:szCs w:val="26"/>
        </w:rPr>
      </w:pPr>
      <w:r>
        <w:rPr>
          <w:rFonts w:ascii="Bookman Old Style" w:hAnsi="Bookman Old Style"/>
          <w:sz w:val="26"/>
          <w:szCs w:val="26"/>
        </w:rPr>
        <w:t>Contudo, suponhamos que, de forma irregular, o defensor requisite um documento protegido por sigilo e consiga acesso a ele</w:t>
      </w:r>
      <w:r w:rsidR="00BA18F2">
        <w:rPr>
          <w:rFonts w:ascii="Bookman Old Style" w:hAnsi="Bookman Old Style"/>
          <w:sz w:val="26"/>
          <w:szCs w:val="26"/>
        </w:rPr>
        <w:t xml:space="preserve">, demonstrando a inocência da pessoa </w:t>
      </w:r>
      <w:proofErr w:type="gramStart"/>
      <w:r w:rsidR="00BA18F2">
        <w:rPr>
          <w:rFonts w:ascii="Bookman Old Style" w:hAnsi="Bookman Old Style"/>
          <w:sz w:val="26"/>
          <w:szCs w:val="26"/>
        </w:rPr>
        <w:t>investigada/processada</w:t>
      </w:r>
      <w:proofErr w:type="gramEnd"/>
      <w:r w:rsidR="00BA18F2">
        <w:rPr>
          <w:rFonts w:ascii="Bookman Old Style" w:hAnsi="Bookman Old Style"/>
          <w:sz w:val="26"/>
          <w:szCs w:val="26"/>
        </w:rPr>
        <w:t xml:space="preserve">. Nesse cenário, entra em cena o que chamamos de </w:t>
      </w:r>
      <w:r w:rsidR="00BA18F2" w:rsidRPr="00BA18F2">
        <w:rPr>
          <w:rFonts w:ascii="Bookman Old Style" w:hAnsi="Bookman Old Style"/>
          <w:b/>
          <w:sz w:val="26"/>
          <w:szCs w:val="26"/>
        </w:rPr>
        <w:t xml:space="preserve">prova ilícita </w:t>
      </w:r>
      <w:proofErr w:type="gramStart"/>
      <w:r w:rsidR="00BA18F2" w:rsidRPr="00BA18F2">
        <w:rPr>
          <w:rFonts w:ascii="Bookman Old Style" w:hAnsi="Bookman Old Style"/>
          <w:b/>
          <w:sz w:val="26"/>
          <w:szCs w:val="26"/>
        </w:rPr>
        <w:t>pró réu</w:t>
      </w:r>
      <w:proofErr w:type="gramEnd"/>
      <w:r w:rsidR="00BA18F2">
        <w:rPr>
          <w:rFonts w:ascii="Bookman Old Style" w:hAnsi="Bookman Old Style"/>
          <w:sz w:val="26"/>
          <w:szCs w:val="26"/>
        </w:rPr>
        <w:t xml:space="preserve"> e a discussão sobre a possibilidade de sua utilização. Majoritariamente, a doutrina admite a utilização, com base no princípio da proporcionalidade, pois nesta situação extrema, colocando-se em confronto o direito de liberdade e o direito à intimidade, deve prevalecer o primeiro, afastando episodicamente o segundo. O réu estaria agindo em estado de necessidade.</w:t>
      </w:r>
    </w:p>
    <w:p w:rsidR="00DC0843" w:rsidRDefault="00DC0843" w:rsidP="00DC639D">
      <w:pPr>
        <w:spacing w:line="360" w:lineRule="auto"/>
        <w:ind w:firstLine="567"/>
        <w:jc w:val="both"/>
        <w:rPr>
          <w:rFonts w:ascii="Bookman Old Style" w:hAnsi="Bookman Old Style"/>
          <w:sz w:val="26"/>
          <w:szCs w:val="26"/>
        </w:rPr>
      </w:pPr>
      <w:r>
        <w:rPr>
          <w:rFonts w:ascii="Bookman Old Style" w:hAnsi="Bookman Old Style"/>
          <w:sz w:val="26"/>
          <w:szCs w:val="26"/>
        </w:rPr>
        <w:t xml:space="preserve">Em relação ao </w:t>
      </w:r>
      <w:r w:rsidRPr="00DC0843">
        <w:rPr>
          <w:rFonts w:ascii="Bookman Old Style" w:hAnsi="Bookman Old Style"/>
          <w:b/>
          <w:sz w:val="26"/>
          <w:szCs w:val="26"/>
        </w:rPr>
        <w:t>desrespeito ao poder de requisição</w:t>
      </w:r>
      <w:r>
        <w:rPr>
          <w:rFonts w:ascii="Bookman Old Style" w:hAnsi="Bookman Old Style"/>
          <w:sz w:val="26"/>
          <w:szCs w:val="26"/>
        </w:rPr>
        <w:t xml:space="preserve"> pela autoridade requisitada, há discussão sobre a incidência do crime de desobediência ou prevaricação. Quanto à desobediência, por um lado, afirma-se que só pode ser </w:t>
      </w:r>
      <w:proofErr w:type="gramStart"/>
      <w:r>
        <w:rPr>
          <w:rFonts w:ascii="Bookman Old Style" w:hAnsi="Bookman Old Style"/>
          <w:sz w:val="26"/>
          <w:szCs w:val="26"/>
        </w:rPr>
        <w:t xml:space="preserve">praticada por particular e, </w:t>
      </w:r>
      <w:r>
        <w:rPr>
          <w:rFonts w:ascii="Bookman Old Style" w:hAnsi="Bookman Old Style"/>
          <w:sz w:val="26"/>
          <w:szCs w:val="26"/>
        </w:rPr>
        <w:lastRenderedPageBreak/>
        <w:t>assim, o funcionário público dentro de suas funções</w:t>
      </w:r>
      <w:proofErr w:type="gramEnd"/>
      <w:r>
        <w:rPr>
          <w:rFonts w:ascii="Bookman Old Style" w:hAnsi="Bookman Old Style"/>
          <w:sz w:val="26"/>
          <w:szCs w:val="26"/>
        </w:rPr>
        <w:t xml:space="preserve"> não a praticaria. Por outro lado, afirma-se que, inexistindo relação de hierarquia entre a autoridade requisitante e requisitada, o crime pode ser configurado, eis que não está presente o poder disciplinar. Já em relação à prevaricação, o problema se encontra em demonstrar o especial fim de agir do funcionário público em descumprir a requisição.</w:t>
      </w:r>
    </w:p>
    <w:p w:rsidR="00A97C10" w:rsidRDefault="00CC23B2" w:rsidP="00CC23B2">
      <w:pPr>
        <w:spacing w:line="360" w:lineRule="auto"/>
        <w:jc w:val="both"/>
        <w:rPr>
          <w:rFonts w:ascii="Bookman Old Style" w:hAnsi="Bookman Old Style"/>
          <w:b/>
          <w:sz w:val="26"/>
          <w:szCs w:val="26"/>
        </w:rPr>
      </w:pPr>
      <w:r>
        <w:rPr>
          <w:rFonts w:ascii="Bookman Old Style" w:hAnsi="Bookman Old Style"/>
          <w:b/>
          <w:sz w:val="26"/>
          <w:szCs w:val="26"/>
        </w:rPr>
        <w:t>OBSERVAÇÕES FINAIS:</w:t>
      </w:r>
    </w:p>
    <w:p w:rsidR="00CC23B2" w:rsidRDefault="00CC23B2" w:rsidP="00CC23B2">
      <w:pPr>
        <w:spacing w:line="360" w:lineRule="auto"/>
        <w:jc w:val="both"/>
        <w:rPr>
          <w:rFonts w:ascii="Bookman Old Style" w:hAnsi="Bookman Old Style"/>
          <w:b/>
          <w:sz w:val="26"/>
          <w:szCs w:val="26"/>
        </w:rPr>
      </w:pPr>
      <w:r>
        <w:rPr>
          <w:rFonts w:ascii="Bookman Old Style" w:hAnsi="Bookman Old Style"/>
          <w:b/>
          <w:sz w:val="26"/>
          <w:szCs w:val="26"/>
        </w:rPr>
        <w:t>- Assistência jurídica gratuita no processo penal.</w:t>
      </w:r>
    </w:p>
    <w:p w:rsidR="00C64F7A" w:rsidRDefault="00CC23B2" w:rsidP="00CC23B2">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Primeiramente, devemos ter em mente que a assistência jurídica abrange não só a atuação dentro do processo</w:t>
      </w:r>
      <w:r w:rsidR="00C64F7A">
        <w:rPr>
          <w:rFonts w:ascii="Bookman Old Style" w:hAnsi="Bookman Old Style"/>
          <w:sz w:val="26"/>
          <w:szCs w:val="26"/>
        </w:rPr>
        <w:t xml:space="preserve"> (assistência judiciária)</w:t>
      </w:r>
      <w:r>
        <w:rPr>
          <w:rFonts w:ascii="Bookman Old Style" w:hAnsi="Bookman Old Style"/>
          <w:sz w:val="26"/>
          <w:szCs w:val="26"/>
        </w:rPr>
        <w:t>, mas também a atuação extraprocessual.</w:t>
      </w:r>
    </w:p>
    <w:p w:rsidR="00CC23B2" w:rsidRDefault="00CC23B2" w:rsidP="00C64F7A">
      <w:pPr>
        <w:spacing w:line="360" w:lineRule="auto"/>
        <w:ind w:firstLine="708"/>
        <w:jc w:val="both"/>
        <w:rPr>
          <w:rFonts w:ascii="Bookman Old Style" w:hAnsi="Bookman Old Style"/>
          <w:sz w:val="26"/>
          <w:szCs w:val="26"/>
        </w:rPr>
      </w:pPr>
      <w:r>
        <w:rPr>
          <w:rFonts w:ascii="Bookman Old Style" w:hAnsi="Bookman Old Style"/>
          <w:sz w:val="26"/>
          <w:szCs w:val="26"/>
        </w:rPr>
        <w:t>Em processo penal, podemos trazer à baila a atuação durante a fase investigatória, quando ainda não existe processo. Igualmente, ela está presente nos Juizados Especiais, em relação à possibilidade de composição civil dos danos significando renúnc</w:t>
      </w:r>
      <w:r w:rsidR="00C64F7A">
        <w:rPr>
          <w:rFonts w:ascii="Bookman Old Style" w:hAnsi="Bookman Old Style"/>
          <w:sz w:val="26"/>
          <w:szCs w:val="26"/>
        </w:rPr>
        <w:t>ia ao direito de representação. Outros exemplos estão presentes no ordenamento, tais como a transação penal, a remissão no processo infracional</w:t>
      </w:r>
      <w:r w:rsidR="009C2935">
        <w:rPr>
          <w:rFonts w:ascii="Bookman Old Style" w:hAnsi="Bookman Old Style"/>
          <w:sz w:val="26"/>
          <w:szCs w:val="26"/>
        </w:rPr>
        <w:t>, o acordo de não persecução penal</w:t>
      </w:r>
      <w:bookmarkStart w:id="0" w:name="_GoBack"/>
      <w:bookmarkEnd w:id="0"/>
      <w:r w:rsidR="00C64F7A">
        <w:rPr>
          <w:rFonts w:ascii="Bookman Old Style" w:hAnsi="Bookman Old Style"/>
          <w:sz w:val="26"/>
          <w:szCs w:val="26"/>
        </w:rPr>
        <w:t>.</w:t>
      </w:r>
      <w:r w:rsidR="00D05CF3">
        <w:rPr>
          <w:rFonts w:ascii="Bookman Old Style" w:hAnsi="Bookman Old Style"/>
          <w:sz w:val="26"/>
          <w:szCs w:val="26"/>
        </w:rPr>
        <w:t xml:space="preserve"> Ainda um último exemplo de assistência jurídica extrajudicial</w:t>
      </w:r>
      <w:r w:rsidR="00E42825">
        <w:rPr>
          <w:rFonts w:ascii="Bookman Old Style" w:hAnsi="Bookman Old Style"/>
          <w:sz w:val="26"/>
          <w:szCs w:val="26"/>
        </w:rPr>
        <w:t xml:space="preserve"> a ser citada é a orientação à família do preso, muitas vezes vulnerável após a prisão de um de seus integrantes.</w:t>
      </w:r>
    </w:p>
    <w:p w:rsidR="00D05CF3" w:rsidRDefault="00D05CF3" w:rsidP="00C64F7A">
      <w:pPr>
        <w:spacing w:line="360" w:lineRule="auto"/>
        <w:ind w:firstLine="708"/>
        <w:jc w:val="both"/>
        <w:rPr>
          <w:rFonts w:ascii="Bookman Old Style" w:hAnsi="Bookman Old Style"/>
          <w:sz w:val="26"/>
          <w:szCs w:val="26"/>
        </w:rPr>
      </w:pPr>
      <w:r>
        <w:rPr>
          <w:rFonts w:ascii="Bookman Old Style" w:hAnsi="Bookman Old Style"/>
          <w:sz w:val="26"/>
          <w:szCs w:val="26"/>
        </w:rPr>
        <w:t xml:space="preserve">Por outro lado, sabemos que a Defensoria Pública possui a missão institucional de atuar em favor da proteção de pessoas vulneráveis. Nesse contexto, não só a atuação em favor do réu deve ser mencionada, mas também </w:t>
      </w:r>
      <w:proofErr w:type="gramStart"/>
      <w:r>
        <w:rPr>
          <w:rFonts w:ascii="Bookman Old Style" w:hAnsi="Bookman Old Style"/>
          <w:sz w:val="26"/>
          <w:szCs w:val="26"/>
        </w:rPr>
        <w:t>a atuação em favor vítimas vulneráveis de crimes</w:t>
      </w:r>
      <w:proofErr w:type="gramEnd"/>
      <w:r>
        <w:rPr>
          <w:rFonts w:ascii="Bookman Old Style" w:hAnsi="Bookman Old Style"/>
          <w:sz w:val="26"/>
          <w:szCs w:val="26"/>
        </w:rPr>
        <w:t xml:space="preserve">. Podemos citar a atuação em favor de </w:t>
      </w:r>
      <w:r>
        <w:rPr>
          <w:rFonts w:ascii="Bookman Old Style" w:hAnsi="Bookman Old Style"/>
          <w:sz w:val="26"/>
          <w:szCs w:val="26"/>
        </w:rPr>
        <w:lastRenderedPageBreak/>
        <w:t>vítimas de crimes de racismo, de tortura, contra as mulheres, contra crianças e adolescentes.</w:t>
      </w:r>
    </w:p>
    <w:p w:rsidR="00D05CF3" w:rsidRDefault="00D05CF3" w:rsidP="00C64F7A">
      <w:pPr>
        <w:spacing w:line="360" w:lineRule="auto"/>
        <w:ind w:firstLine="708"/>
        <w:jc w:val="both"/>
        <w:rPr>
          <w:rFonts w:ascii="Bookman Old Style" w:hAnsi="Bookman Old Style"/>
          <w:sz w:val="26"/>
          <w:szCs w:val="26"/>
        </w:rPr>
      </w:pPr>
      <w:r>
        <w:rPr>
          <w:rFonts w:ascii="Bookman Old Style" w:hAnsi="Bookman Old Style"/>
          <w:sz w:val="26"/>
          <w:szCs w:val="26"/>
        </w:rPr>
        <w:t>Nesses casos, a atuação extrajudicial da Defensoria Pública é essencial para garantir a essas pessoa</w:t>
      </w:r>
      <w:r w:rsidR="00E42825">
        <w:rPr>
          <w:rFonts w:ascii="Bookman Old Style" w:hAnsi="Bookman Old Style"/>
          <w:sz w:val="26"/>
          <w:szCs w:val="26"/>
        </w:rPr>
        <w:t>s o devido atendimento não só na</w:t>
      </w:r>
      <w:r>
        <w:rPr>
          <w:rFonts w:ascii="Bookman Old Style" w:hAnsi="Bookman Old Style"/>
          <w:sz w:val="26"/>
          <w:szCs w:val="26"/>
        </w:rPr>
        <w:t xml:space="preserve"> área jurídica, mas também com apoios psicológico e assistencial. Note-se que a Defensoria de São Paulo possui a atribuição de prestar atendimento interdisciplinar, na forma do artigo 5º, V, da LC 988/2006 SP.</w:t>
      </w:r>
    </w:p>
    <w:p w:rsidR="00E42825" w:rsidRDefault="00E42825" w:rsidP="00C64F7A">
      <w:pPr>
        <w:spacing w:line="360" w:lineRule="auto"/>
        <w:ind w:firstLine="708"/>
        <w:jc w:val="both"/>
        <w:rPr>
          <w:rFonts w:ascii="Bookman Old Style" w:hAnsi="Bookman Old Style"/>
          <w:sz w:val="26"/>
          <w:szCs w:val="26"/>
        </w:rPr>
      </w:pPr>
      <w:r>
        <w:rPr>
          <w:rFonts w:ascii="Bookman Old Style" w:hAnsi="Bookman Old Style"/>
          <w:sz w:val="26"/>
          <w:szCs w:val="26"/>
        </w:rPr>
        <w:t>Eventualmente, no processo penal, caso a Defensoria venha a atuar como assistente de acusação ou representante da vítima em queixa-crime, nesses casos de vítimas vulneráveis, tal atuação independe do fato de o assistido ser pobre. Trata-se de atribuição não tradicional da Defensoria, a de atuar em favor de grupos vulneráveis, independentemente da questão financeira.</w:t>
      </w:r>
    </w:p>
    <w:p w:rsidR="00E42825" w:rsidRDefault="00E42825" w:rsidP="00C64F7A">
      <w:pPr>
        <w:spacing w:line="360" w:lineRule="auto"/>
        <w:ind w:firstLine="708"/>
        <w:jc w:val="both"/>
        <w:rPr>
          <w:rFonts w:ascii="Bookman Old Style" w:hAnsi="Bookman Old Style"/>
          <w:sz w:val="26"/>
          <w:szCs w:val="26"/>
        </w:rPr>
      </w:pPr>
      <w:r>
        <w:rPr>
          <w:rFonts w:ascii="Bookman Old Style" w:hAnsi="Bookman Old Style"/>
          <w:sz w:val="26"/>
          <w:szCs w:val="26"/>
        </w:rPr>
        <w:t>Ao contrário, fora desses casos, a atuação da Defensoria como representante da vítima em queixa-crime ou como assistente de acusação está condicionada ao fato de a vítima ser hipossuficiente financeiramente.</w:t>
      </w:r>
    </w:p>
    <w:p w:rsidR="003C4922" w:rsidRDefault="003C4922" w:rsidP="00C64F7A">
      <w:pPr>
        <w:spacing w:line="360" w:lineRule="auto"/>
        <w:ind w:firstLine="708"/>
        <w:jc w:val="both"/>
        <w:rPr>
          <w:rFonts w:ascii="Bookman Old Style" w:hAnsi="Bookman Old Style"/>
          <w:sz w:val="26"/>
          <w:szCs w:val="26"/>
        </w:rPr>
      </w:pPr>
      <w:r>
        <w:rPr>
          <w:rFonts w:ascii="Bookman Old Style" w:hAnsi="Bookman Old Style"/>
          <w:sz w:val="26"/>
          <w:szCs w:val="26"/>
        </w:rPr>
        <w:t>Além disso, devemos lembrar que muitos atos são privativos da vítima. Assim, ela é quem deve realizar representação, perdão, composição civil de danos. Portanto, eventuais manifestações do defensor devem vir acompanhadas da assinatura da vítima, assim como eventual queixa-crime.</w:t>
      </w:r>
    </w:p>
    <w:p w:rsidR="00E42825" w:rsidRDefault="00E42825" w:rsidP="00C64F7A">
      <w:pPr>
        <w:spacing w:line="360" w:lineRule="auto"/>
        <w:ind w:firstLine="708"/>
        <w:jc w:val="both"/>
        <w:rPr>
          <w:rFonts w:ascii="Bookman Old Style" w:hAnsi="Bookman Old Style"/>
          <w:sz w:val="26"/>
          <w:szCs w:val="26"/>
        </w:rPr>
      </w:pPr>
      <w:r>
        <w:rPr>
          <w:rFonts w:ascii="Bookman Old Style" w:hAnsi="Bookman Old Style"/>
          <w:sz w:val="26"/>
          <w:szCs w:val="26"/>
        </w:rPr>
        <w:t xml:space="preserve">Quando atua na defesa do réu, como está em jogo o direito fundamental de liberdade, a ampla defesa e o contraditório </w:t>
      </w:r>
      <w:proofErr w:type="gramStart"/>
      <w:r>
        <w:rPr>
          <w:rFonts w:ascii="Bookman Old Style" w:hAnsi="Bookman Old Style"/>
          <w:sz w:val="26"/>
          <w:szCs w:val="26"/>
        </w:rPr>
        <w:t>no</w:t>
      </w:r>
      <w:proofErr w:type="gramEnd"/>
      <w:r>
        <w:rPr>
          <w:rFonts w:ascii="Bookman Old Style" w:hAnsi="Bookman Old Style"/>
          <w:sz w:val="26"/>
          <w:szCs w:val="26"/>
        </w:rPr>
        <w:t xml:space="preserve"> </w:t>
      </w:r>
      <w:proofErr w:type="gramStart"/>
      <w:r>
        <w:rPr>
          <w:rFonts w:ascii="Bookman Old Style" w:hAnsi="Bookman Old Style"/>
          <w:sz w:val="26"/>
          <w:szCs w:val="26"/>
        </w:rPr>
        <w:t>processo</w:t>
      </w:r>
      <w:proofErr w:type="gramEnd"/>
      <w:r>
        <w:rPr>
          <w:rFonts w:ascii="Bookman Old Style" w:hAnsi="Bookman Old Style"/>
          <w:sz w:val="26"/>
          <w:szCs w:val="26"/>
        </w:rPr>
        <w:t xml:space="preserve"> penal devem ser sempre garantidos, ou seja, não existe a possibilidade de se renunciar à defesa técnica. Ela deve estar </w:t>
      </w:r>
      <w:r>
        <w:rPr>
          <w:rFonts w:ascii="Bookman Old Style" w:hAnsi="Bookman Old Style"/>
          <w:sz w:val="26"/>
          <w:szCs w:val="26"/>
        </w:rPr>
        <w:lastRenderedPageBreak/>
        <w:t>presente e ser efetiva para garantir o devido processo legal substancial.</w:t>
      </w:r>
    </w:p>
    <w:p w:rsidR="003C4922" w:rsidRDefault="003C4922" w:rsidP="00C64F7A">
      <w:pPr>
        <w:spacing w:line="360" w:lineRule="auto"/>
        <w:ind w:firstLine="708"/>
        <w:jc w:val="both"/>
        <w:rPr>
          <w:rFonts w:ascii="Bookman Old Style" w:hAnsi="Bookman Old Style"/>
          <w:sz w:val="26"/>
          <w:szCs w:val="26"/>
        </w:rPr>
      </w:pPr>
      <w:r>
        <w:rPr>
          <w:rFonts w:ascii="Bookman Old Style" w:hAnsi="Bookman Old Style"/>
          <w:sz w:val="26"/>
          <w:szCs w:val="26"/>
        </w:rPr>
        <w:t>Nesse sentido, mesmo se o réu não for hipossuficiente financeiramente, ele será assistido pela Defensoria Pública caso não constitua advogado. Sendo esse o caso, a Defensoria Pública deve pedir a fixação de honorários advocatícios em favor da Instituição, para aparelhamento ou investiment</w:t>
      </w:r>
      <w:r w:rsidR="0081251C">
        <w:rPr>
          <w:rFonts w:ascii="Bookman Old Style" w:hAnsi="Bookman Old Style"/>
          <w:sz w:val="26"/>
          <w:szCs w:val="26"/>
        </w:rPr>
        <w:t>o na capacitação dos defensores e servidores (artigo 5º, XXI, da LC 80/1994).</w:t>
      </w:r>
    </w:p>
    <w:p w:rsidR="003C4922" w:rsidRDefault="003C4922" w:rsidP="00C64F7A">
      <w:pPr>
        <w:spacing w:line="360" w:lineRule="auto"/>
        <w:ind w:firstLine="708"/>
        <w:jc w:val="both"/>
        <w:rPr>
          <w:rFonts w:ascii="Bookman Old Style" w:hAnsi="Bookman Old Style"/>
          <w:sz w:val="26"/>
          <w:szCs w:val="26"/>
        </w:rPr>
      </w:pPr>
      <w:r>
        <w:rPr>
          <w:rFonts w:ascii="Bookman Old Style" w:hAnsi="Bookman Old Style"/>
          <w:sz w:val="26"/>
          <w:szCs w:val="26"/>
        </w:rPr>
        <w:t xml:space="preserve">Isso se explica pelo princípio da solidariedade social. </w:t>
      </w:r>
      <w:r w:rsidR="0081251C">
        <w:rPr>
          <w:rFonts w:ascii="Bookman Old Style" w:hAnsi="Bookman Old Style"/>
          <w:sz w:val="26"/>
          <w:szCs w:val="26"/>
        </w:rPr>
        <w:t>A função precípua da Defensoria Pública é garantir o acesso à justiça a quem não tem condições financeiras de custear um advogado, garantindo a igualdade de todos. Ao mover sua atuação para quem tem condições de custear sua defesa, invariavelmente, ainda mais considerando que as Defensorias estão longe de ter a estrutura ideal, sacrifica-se em certa medida a atuação em favor dos hipossuficientes financeiramente. Para recompor a balança social, justo é cobrar os honorários do réu não hipossuficiente defendido pela Defensoria.</w:t>
      </w:r>
    </w:p>
    <w:p w:rsidR="0081251C" w:rsidRDefault="0081251C" w:rsidP="00C64F7A">
      <w:pPr>
        <w:spacing w:line="360" w:lineRule="auto"/>
        <w:ind w:firstLine="708"/>
        <w:jc w:val="both"/>
        <w:rPr>
          <w:rFonts w:ascii="Bookman Old Style" w:hAnsi="Bookman Old Style"/>
          <w:sz w:val="26"/>
          <w:szCs w:val="26"/>
        </w:rPr>
      </w:pPr>
      <w:r>
        <w:rPr>
          <w:rFonts w:ascii="Bookman Old Style" w:hAnsi="Bookman Old Style"/>
          <w:sz w:val="26"/>
          <w:szCs w:val="26"/>
        </w:rPr>
        <w:t xml:space="preserve">Aliás, tal questão foi objeto de análise na última prova escrita da Defensoria de São Paulo, na peça de processo penal. Como o réu era um prefeito, no tópico dos pedidos, o candidato deveria fazer o pedido de condenação do réu em honorários advocatícios. Só essa análise valia </w:t>
      </w:r>
      <w:proofErr w:type="gramStart"/>
      <w:r>
        <w:rPr>
          <w:rFonts w:ascii="Bookman Old Style" w:hAnsi="Bookman Old Style"/>
          <w:sz w:val="26"/>
          <w:szCs w:val="26"/>
        </w:rPr>
        <w:t>1</w:t>
      </w:r>
      <w:proofErr w:type="gramEnd"/>
      <w:r>
        <w:rPr>
          <w:rFonts w:ascii="Bookman Old Style" w:hAnsi="Bookman Old Style"/>
          <w:sz w:val="26"/>
          <w:szCs w:val="26"/>
        </w:rPr>
        <w:t xml:space="preserve"> ponto da resposta.</w:t>
      </w:r>
    </w:p>
    <w:p w:rsidR="00E42825" w:rsidRDefault="00E42825" w:rsidP="00C64F7A">
      <w:pPr>
        <w:spacing w:line="360" w:lineRule="auto"/>
        <w:ind w:firstLine="708"/>
        <w:jc w:val="both"/>
        <w:rPr>
          <w:rFonts w:ascii="Bookman Old Style" w:hAnsi="Bookman Old Style"/>
          <w:sz w:val="26"/>
          <w:szCs w:val="26"/>
        </w:rPr>
      </w:pPr>
    </w:p>
    <w:p w:rsidR="00D05CF3" w:rsidRDefault="00D05CF3" w:rsidP="00C64F7A">
      <w:pPr>
        <w:spacing w:line="360" w:lineRule="auto"/>
        <w:ind w:firstLine="708"/>
        <w:jc w:val="both"/>
        <w:rPr>
          <w:rFonts w:ascii="Bookman Old Style" w:hAnsi="Bookman Old Style"/>
          <w:sz w:val="26"/>
          <w:szCs w:val="26"/>
        </w:rPr>
      </w:pPr>
    </w:p>
    <w:p w:rsidR="00C64F7A" w:rsidRPr="00CC23B2" w:rsidRDefault="00C64F7A" w:rsidP="00C64F7A">
      <w:pPr>
        <w:spacing w:line="360" w:lineRule="auto"/>
        <w:ind w:firstLine="708"/>
        <w:jc w:val="both"/>
        <w:rPr>
          <w:rFonts w:ascii="Bookman Old Style" w:hAnsi="Bookman Old Style"/>
          <w:sz w:val="26"/>
          <w:szCs w:val="26"/>
        </w:rPr>
      </w:pPr>
    </w:p>
    <w:p w:rsidR="00CC23B2" w:rsidRPr="00CC23B2" w:rsidRDefault="00CC23B2" w:rsidP="00CC23B2">
      <w:pPr>
        <w:spacing w:line="360" w:lineRule="auto"/>
        <w:jc w:val="both"/>
        <w:rPr>
          <w:rFonts w:ascii="Bookman Old Style" w:hAnsi="Bookman Old Style"/>
          <w:sz w:val="26"/>
          <w:szCs w:val="26"/>
        </w:rPr>
      </w:pPr>
    </w:p>
    <w:p w:rsidR="00B20ACC" w:rsidRPr="00E303EA" w:rsidRDefault="00B20ACC" w:rsidP="00DC639D">
      <w:pPr>
        <w:spacing w:line="360" w:lineRule="auto"/>
        <w:ind w:firstLine="567"/>
        <w:jc w:val="both"/>
        <w:rPr>
          <w:rFonts w:ascii="Bookman Old Style" w:hAnsi="Bookman Old Style"/>
          <w:sz w:val="26"/>
          <w:szCs w:val="26"/>
        </w:rPr>
      </w:pPr>
    </w:p>
    <w:p w:rsidR="00F83D94" w:rsidRPr="00675AEC" w:rsidRDefault="00F83D94" w:rsidP="00675AEC">
      <w:pPr>
        <w:spacing w:line="360" w:lineRule="auto"/>
        <w:ind w:firstLine="567"/>
        <w:jc w:val="both"/>
        <w:rPr>
          <w:rFonts w:ascii="Bookman Old Style" w:hAnsi="Bookman Old Style"/>
          <w:sz w:val="26"/>
          <w:szCs w:val="26"/>
        </w:rPr>
      </w:pPr>
    </w:p>
    <w:sectPr w:rsidR="00F83D94" w:rsidRPr="00675A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2C47"/>
    <w:multiLevelType w:val="hybridMultilevel"/>
    <w:tmpl w:val="A26C746E"/>
    <w:lvl w:ilvl="0" w:tplc="EED054B2">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04E2633"/>
    <w:multiLevelType w:val="hybridMultilevel"/>
    <w:tmpl w:val="B70A83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5F459AD"/>
    <w:multiLevelType w:val="hybridMultilevel"/>
    <w:tmpl w:val="DA12647A"/>
    <w:lvl w:ilvl="0" w:tplc="0760502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431"/>
    <w:rsid w:val="00017CA5"/>
    <w:rsid w:val="00050F15"/>
    <w:rsid w:val="00055A69"/>
    <w:rsid w:val="000D3431"/>
    <w:rsid w:val="001E3AC9"/>
    <w:rsid w:val="003C4922"/>
    <w:rsid w:val="003E2D3D"/>
    <w:rsid w:val="004511D6"/>
    <w:rsid w:val="00456559"/>
    <w:rsid w:val="004936DC"/>
    <w:rsid w:val="00543CEC"/>
    <w:rsid w:val="00554A03"/>
    <w:rsid w:val="005579A6"/>
    <w:rsid w:val="005A1429"/>
    <w:rsid w:val="005F0C8F"/>
    <w:rsid w:val="00600303"/>
    <w:rsid w:val="006706AC"/>
    <w:rsid w:val="00675AEC"/>
    <w:rsid w:val="00693A80"/>
    <w:rsid w:val="00776EFC"/>
    <w:rsid w:val="0081251C"/>
    <w:rsid w:val="0081325E"/>
    <w:rsid w:val="00823C40"/>
    <w:rsid w:val="008C0ACB"/>
    <w:rsid w:val="00925DFF"/>
    <w:rsid w:val="0093193D"/>
    <w:rsid w:val="009C2935"/>
    <w:rsid w:val="009F53C5"/>
    <w:rsid w:val="00A1301B"/>
    <w:rsid w:val="00A214B5"/>
    <w:rsid w:val="00A97C10"/>
    <w:rsid w:val="00B20ACC"/>
    <w:rsid w:val="00BA18F2"/>
    <w:rsid w:val="00BE2C0B"/>
    <w:rsid w:val="00C17FA0"/>
    <w:rsid w:val="00C4513B"/>
    <w:rsid w:val="00C5254D"/>
    <w:rsid w:val="00C64F7A"/>
    <w:rsid w:val="00C65E04"/>
    <w:rsid w:val="00C751F1"/>
    <w:rsid w:val="00CB0D40"/>
    <w:rsid w:val="00CC23B2"/>
    <w:rsid w:val="00D05CF3"/>
    <w:rsid w:val="00D14408"/>
    <w:rsid w:val="00DC0843"/>
    <w:rsid w:val="00DC639D"/>
    <w:rsid w:val="00DD02A2"/>
    <w:rsid w:val="00E303EA"/>
    <w:rsid w:val="00E42825"/>
    <w:rsid w:val="00F83D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3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3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8ADA-A339-462F-A059-243E6037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4746</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lucas</cp:lastModifiedBy>
  <cp:revision>9</cp:revision>
  <dcterms:created xsi:type="dcterms:W3CDTF">2020-10-07T12:34:00Z</dcterms:created>
  <dcterms:modified xsi:type="dcterms:W3CDTF">2020-10-08T18:43:00Z</dcterms:modified>
</cp:coreProperties>
</file>