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D6" w:rsidRDefault="000270D6" w:rsidP="000270D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EXCELENTÍSSIMO JUIZ(A) DE DIREITO DA VARA DO JÚRI DE .../SP</w:t>
      </w: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 xml:space="preserve">A Defensoria Pública do estado de São Paulo, atuando em favor de Manuel..., já qualificado nos autos, vem, perante Vossa Excelência, interpor recurso de apelação </w:t>
      </w:r>
      <w:r w:rsidR="00AD7435">
        <w:rPr>
          <w:rFonts w:ascii="Cambria" w:hAnsi="Cambria"/>
        </w:rPr>
        <w:t>contra decisão deste Tribunal do Júri que condenou o apelante a 19 anos de reclusão em regime inicial fechado, nos termos do art. 593, inciso III, alíneas “a” e “d”.</w:t>
      </w:r>
    </w:p>
    <w:p w:rsidR="00AD7435" w:rsidRDefault="00AD7435" w:rsidP="000270D6">
      <w:pPr>
        <w:spacing w:line="360" w:lineRule="auto"/>
        <w:ind w:firstLine="2268"/>
        <w:jc w:val="both"/>
        <w:rPr>
          <w:rFonts w:ascii="Cambria" w:hAnsi="Cambria"/>
        </w:rPr>
      </w:pPr>
    </w:p>
    <w:p w:rsidR="00AD7435" w:rsidRDefault="00AD7435" w:rsidP="000270D6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Local e data.</w:t>
      </w:r>
    </w:p>
    <w:p w:rsidR="00AD7435" w:rsidRDefault="00AD7435" w:rsidP="000270D6">
      <w:pPr>
        <w:spacing w:line="360" w:lineRule="auto"/>
        <w:ind w:firstLine="2268"/>
        <w:jc w:val="both"/>
        <w:rPr>
          <w:rFonts w:ascii="Cambria" w:hAnsi="Cambria"/>
        </w:rPr>
      </w:pPr>
    </w:p>
    <w:p w:rsidR="00AD7435" w:rsidRDefault="00AD7435" w:rsidP="00AD7435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...</w:t>
      </w:r>
    </w:p>
    <w:p w:rsidR="00AD7435" w:rsidRDefault="00AD7435" w:rsidP="000270D6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Defensor(a) Público(a)</w:t>
      </w:r>
    </w:p>
    <w:p w:rsidR="00AD7435" w:rsidRDefault="00AD7435" w:rsidP="000270D6">
      <w:pPr>
        <w:spacing w:line="360" w:lineRule="auto"/>
        <w:ind w:firstLine="2268"/>
        <w:jc w:val="both"/>
        <w:rPr>
          <w:rFonts w:ascii="Cambria" w:hAnsi="Cambria"/>
        </w:rPr>
      </w:pPr>
    </w:p>
    <w:p w:rsidR="00AD7435" w:rsidRDefault="00AD7435" w:rsidP="000270D6">
      <w:pPr>
        <w:spacing w:line="360" w:lineRule="auto"/>
        <w:ind w:firstLine="2268"/>
        <w:jc w:val="both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7777AA" w:rsidRDefault="000270D6" w:rsidP="000270D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Vara do Júri de .../SP</w:t>
      </w:r>
    </w:p>
    <w:p w:rsidR="000270D6" w:rsidRDefault="000270D6" w:rsidP="000270D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Processo nº</w:t>
      </w:r>
    </w:p>
    <w:p w:rsidR="000270D6" w:rsidRDefault="000270D6" w:rsidP="000270D6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Apelante: Manuel...</w:t>
      </w: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Razões de Apelação</w:t>
      </w: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  <w:bookmarkStart w:id="0" w:name="_GoBack"/>
      <w:bookmarkEnd w:id="0"/>
    </w:p>
    <w:p w:rsidR="000270D6" w:rsidRDefault="000270D6" w:rsidP="000270D6">
      <w:pPr>
        <w:spacing w:line="360" w:lineRule="auto"/>
        <w:jc w:val="center"/>
        <w:rPr>
          <w:rFonts w:ascii="Cambria" w:hAnsi="Cambria"/>
        </w:rPr>
      </w:pPr>
    </w:p>
    <w:p w:rsidR="000270D6" w:rsidRDefault="000270D6" w:rsidP="000270D6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O apelante Manuel... foi condenado pelo Tribunal do Júri de ..../SP como incurso nas penas do art. 121, § 2º, incisos I, IV e VII do Código Penal, a 19 anos de reclusão em regime inicial fechado.</w:t>
      </w:r>
    </w:p>
    <w:p w:rsidR="000270D6" w:rsidRDefault="000270D6" w:rsidP="000270D6">
      <w:pPr>
        <w:spacing w:line="360" w:lineRule="auto"/>
        <w:ind w:firstLine="2268"/>
        <w:jc w:val="both"/>
        <w:rPr>
          <w:rFonts w:ascii="Cambria" w:hAnsi="Cambria"/>
        </w:rPr>
      </w:pPr>
    </w:p>
    <w:p w:rsidR="000270D6" w:rsidRDefault="000270D6" w:rsidP="000270D6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Todavia, o processo deve ser anulado por absoluta incompetência do Tribunal de Júri (art. 593, III, “a”) e, caso assim não se entenda, o apelante deve ser submetido a novo julgamento em razão de a decisão do jurados ser manifestamente contrária à prova dos autos (</w:t>
      </w:r>
      <w:r>
        <w:rPr>
          <w:rFonts w:ascii="Cambria" w:hAnsi="Cambria"/>
        </w:rPr>
        <w:t>no art. 593, inciso III, alíneas “</w:t>
      </w:r>
      <w:r>
        <w:rPr>
          <w:rFonts w:ascii="Cambria" w:hAnsi="Cambria"/>
        </w:rPr>
        <w:t>d</w:t>
      </w:r>
      <w:r>
        <w:rPr>
          <w:rFonts w:ascii="Cambria" w:hAnsi="Cambria"/>
        </w:rPr>
        <w:t>”</w:t>
      </w:r>
      <w:r>
        <w:rPr>
          <w:rFonts w:ascii="Cambria" w:hAnsi="Cambria"/>
        </w:rPr>
        <w:t xml:space="preserve"> e § 3º).</w:t>
      </w:r>
    </w:p>
    <w:p w:rsidR="000270D6" w:rsidRDefault="000270D6" w:rsidP="000270D6">
      <w:pPr>
        <w:spacing w:line="360" w:lineRule="auto"/>
        <w:ind w:firstLine="2268"/>
        <w:jc w:val="both"/>
        <w:rPr>
          <w:rFonts w:ascii="Cambria" w:hAnsi="Cambria"/>
        </w:rPr>
      </w:pPr>
    </w:p>
    <w:p w:rsidR="000270D6" w:rsidRDefault="000270D6" w:rsidP="000270D6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É o que se passa a demonstrar.</w:t>
      </w:r>
    </w:p>
    <w:p w:rsidR="007777AA" w:rsidRDefault="00AD7435" w:rsidP="00AD743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Da nulidade em razão da incompetência absoluta do Tribunal do Júri</w:t>
      </w: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Da impossibilidade de nova submissão do acusado a julgamento: violação à coisa julgada</w:t>
      </w: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Da condenação manifestamente contrária à prova dos autos</w:t>
      </w: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...</w:t>
      </w: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ind w:firstLine="2268"/>
        <w:rPr>
          <w:rFonts w:ascii="Cambria" w:hAnsi="Cambria"/>
        </w:rPr>
      </w:pPr>
      <w:r>
        <w:rPr>
          <w:rFonts w:ascii="Cambria" w:hAnsi="Cambria"/>
        </w:rPr>
        <w:t>Por fim, diante da ilicitude do acordo de delação premiada, requer-se seu desentranhamento dos autos, nos termos do § 1º do art. 157 do Código de Processo Penal.</w:t>
      </w: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Da insubsistência manifesta das qualificadoras</w:t>
      </w:r>
    </w:p>
    <w:p w:rsidR="007777AA" w:rsidRDefault="007777AA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Da ausência de interesse de agir para a persecução penal: prescrição </w:t>
      </w:r>
      <w:r w:rsidR="00B41094">
        <w:rPr>
          <w:rFonts w:ascii="Cambria" w:hAnsi="Cambria"/>
        </w:rPr>
        <w:t xml:space="preserve">da pretensão punitiva </w:t>
      </w:r>
      <w:r>
        <w:rPr>
          <w:rFonts w:ascii="Cambria" w:hAnsi="Cambria"/>
        </w:rPr>
        <w:t>pela pena em perspectiva</w:t>
      </w: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B41094" w:rsidRDefault="00B41094" w:rsidP="00AD7435">
      <w:pPr>
        <w:spacing w:line="360" w:lineRule="auto"/>
        <w:rPr>
          <w:rFonts w:ascii="Cambria" w:hAnsi="Cambria"/>
        </w:rPr>
      </w:pPr>
    </w:p>
    <w:p w:rsidR="00B41094" w:rsidRDefault="00B41094" w:rsidP="00AD7435">
      <w:pPr>
        <w:spacing w:line="360" w:lineRule="auto"/>
        <w:rPr>
          <w:rFonts w:ascii="Cambria" w:hAnsi="Cambria"/>
        </w:rPr>
      </w:pPr>
    </w:p>
    <w:p w:rsidR="00B41094" w:rsidRDefault="00B41094" w:rsidP="00AD7435">
      <w:pPr>
        <w:spacing w:line="360" w:lineRule="auto"/>
        <w:rPr>
          <w:rFonts w:ascii="Cambria" w:hAnsi="Cambria"/>
        </w:rPr>
      </w:pPr>
    </w:p>
    <w:p w:rsidR="00B41094" w:rsidRDefault="00B41094" w:rsidP="00AD743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Da necessidade de arbitramento de honorários em favor da Escola da Defensoria Pública</w:t>
      </w:r>
    </w:p>
    <w:p w:rsidR="00B41094" w:rsidRDefault="00B41094" w:rsidP="00AD7435">
      <w:pPr>
        <w:spacing w:line="360" w:lineRule="auto"/>
        <w:rPr>
          <w:rFonts w:ascii="Cambria" w:hAnsi="Cambria"/>
        </w:rPr>
      </w:pPr>
    </w:p>
    <w:p w:rsidR="00B41094" w:rsidRDefault="00B41094" w:rsidP="00AD7435">
      <w:pPr>
        <w:spacing w:line="360" w:lineRule="auto"/>
        <w:rPr>
          <w:rFonts w:ascii="Cambria" w:hAnsi="Cambria"/>
        </w:rPr>
      </w:pPr>
    </w:p>
    <w:p w:rsidR="00B41094" w:rsidRDefault="00B41094" w:rsidP="00AD7435">
      <w:pPr>
        <w:spacing w:line="360" w:lineRule="auto"/>
        <w:rPr>
          <w:rFonts w:ascii="Cambria" w:hAnsi="Cambria"/>
        </w:rPr>
      </w:pPr>
    </w:p>
    <w:p w:rsidR="00B41094" w:rsidRDefault="00B41094" w:rsidP="00AD7435">
      <w:pPr>
        <w:spacing w:line="360" w:lineRule="auto"/>
        <w:rPr>
          <w:rFonts w:ascii="Cambria" w:hAnsi="Cambria"/>
        </w:rPr>
      </w:pPr>
    </w:p>
    <w:p w:rsidR="00B41094" w:rsidRDefault="00B41094" w:rsidP="00AD743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Pedidos</w:t>
      </w:r>
    </w:p>
    <w:p w:rsidR="00B41094" w:rsidRDefault="00B41094" w:rsidP="00AD7435">
      <w:pPr>
        <w:spacing w:line="360" w:lineRule="auto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Em razão do exposto, requer-se o reconhecimento da nulidade alegada e a consequente extinção da punibilidade em razão da prescrição.</w:t>
      </w: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Subsidiariamente, requer-se a anulação do julgamento e remessa dos autos ao Tribunal de Justiça de São Paulo.</w:t>
      </w: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Caso assim não se entenda, requer-se a submissão do apelante a novo júri.</w:t>
      </w: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Por fim, requer-se o afastamento das qualificadoras e o arbitramento de honorários advocatícios em favor da Escola da Defensoria Pública.</w:t>
      </w: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Local e data.</w:t>
      </w: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  <w:r>
        <w:rPr>
          <w:rFonts w:ascii="Cambria" w:hAnsi="Cambria"/>
        </w:rPr>
        <w:t>Defensor(a) Público(a)</w:t>
      </w: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B41094" w:rsidRDefault="00B41094" w:rsidP="00B41094">
      <w:pPr>
        <w:spacing w:line="360" w:lineRule="auto"/>
        <w:ind w:firstLine="2268"/>
        <w:jc w:val="both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AD7435" w:rsidRDefault="00AD7435" w:rsidP="00AD7435">
      <w:pPr>
        <w:spacing w:line="360" w:lineRule="auto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p w:rsidR="007777AA" w:rsidRPr="007777AA" w:rsidRDefault="007777AA" w:rsidP="007777AA">
      <w:pPr>
        <w:spacing w:line="360" w:lineRule="auto"/>
        <w:jc w:val="center"/>
        <w:rPr>
          <w:rFonts w:ascii="Cambria" w:hAnsi="Cambria"/>
        </w:rPr>
      </w:pPr>
    </w:p>
    <w:sectPr w:rsidR="007777AA" w:rsidRPr="007777AA" w:rsidSect="00C855E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AA"/>
    <w:rsid w:val="000270D6"/>
    <w:rsid w:val="0020148F"/>
    <w:rsid w:val="003037F8"/>
    <w:rsid w:val="007777AA"/>
    <w:rsid w:val="00AD7435"/>
    <w:rsid w:val="00B41094"/>
    <w:rsid w:val="00C855EC"/>
    <w:rsid w:val="00E1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36E51"/>
  <w14:defaultImageDpi w14:val="32767"/>
  <w15:chartTrackingRefBased/>
  <w15:docId w15:val="{676125C5-6CBC-A040-A4CA-AC0A2760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Martinelli Scrignoli</dc:creator>
  <cp:keywords/>
  <dc:description/>
  <cp:lastModifiedBy>Bruno Martinelli Scrignoli</cp:lastModifiedBy>
  <cp:revision>1</cp:revision>
  <dcterms:created xsi:type="dcterms:W3CDTF">2021-03-27T13:12:00Z</dcterms:created>
  <dcterms:modified xsi:type="dcterms:W3CDTF">2021-03-27T15:04:00Z</dcterms:modified>
</cp:coreProperties>
</file>