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6459A6" w:rsidRPr="00695F46" w:rsidRDefault="00323EAE">
      <w:pPr>
        <w:spacing w:line="360" w:lineRule="auto"/>
        <w:jc w:val="both"/>
        <w:rPr>
          <w:rFonts w:ascii="Cambria" w:hAnsi="Cambria"/>
        </w:rPr>
      </w:pPr>
      <w:r w:rsidRPr="00695F46">
        <w:rPr>
          <w:rFonts w:ascii="Cambria" w:eastAsia="Cambria" w:hAnsi="Cambria" w:cs="Cambria"/>
          <w:b/>
          <w:sz w:val="24"/>
          <w:szCs w:val="24"/>
        </w:rPr>
        <w:t xml:space="preserve">Do afastamento da causa de aumento prevista no artigo 40, inciso III, da Lei de Drogas. </w:t>
      </w:r>
      <w:bookmarkStart w:id="0" w:name="_GoBack"/>
      <w:bookmarkEnd w:id="0"/>
    </w:p>
    <w:p w14:paraId="00000002" w14:textId="77777777" w:rsidR="006459A6" w:rsidRPr="00695F46" w:rsidRDefault="006459A6">
      <w:pPr>
        <w:spacing w:line="360" w:lineRule="auto"/>
        <w:jc w:val="both"/>
        <w:rPr>
          <w:rFonts w:ascii="Cambria" w:eastAsia="Cambria" w:hAnsi="Cambria" w:cs="Cambria"/>
          <w:b/>
          <w:smallCaps/>
          <w:sz w:val="24"/>
          <w:szCs w:val="24"/>
        </w:rPr>
      </w:pPr>
    </w:p>
    <w:p w14:paraId="00000003" w14:textId="77777777" w:rsidR="006459A6" w:rsidRPr="00695F46" w:rsidRDefault="00323EAE">
      <w:pPr>
        <w:widowControl w:val="0"/>
        <w:spacing w:line="360" w:lineRule="auto"/>
        <w:ind w:firstLine="2268"/>
        <w:jc w:val="both"/>
        <w:rPr>
          <w:rFonts w:ascii="Cambria" w:hAnsi="Cambria"/>
        </w:rPr>
      </w:pPr>
      <w:r w:rsidRPr="00695F46">
        <w:rPr>
          <w:rFonts w:ascii="Cambria" w:eastAsia="Cambria" w:hAnsi="Cambria" w:cs="Cambria"/>
          <w:sz w:val="24"/>
          <w:szCs w:val="24"/>
        </w:rPr>
        <w:t xml:space="preserve">Neste passo, requer-se o afastamento da causa de aumento do artigo 40, inciso III, da Lei 11.343/06, porque, para sua incidência, é de suma importância que se comprove a existência do elemento subjetivo, qual seja, a </w:t>
      </w:r>
      <w:r w:rsidRPr="00695F46">
        <w:rPr>
          <w:rFonts w:ascii="Cambria" w:eastAsia="Cambria" w:hAnsi="Cambria" w:cs="Cambria"/>
          <w:b/>
          <w:sz w:val="24"/>
          <w:szCs w:val="24"/>
        </w:rPr>
        <w:t>intenção incontestável de vender substâ</w:t>
      </w:r>
      <w:r w:rsidRPr="00695F46">
        <w:rPr>
          <w:rFonts w:ascii="Cambria" w:eastAsia="Cambria" w:hAnsi="Cambria" w:cs="Cambria"/>
          <w:b/>
          <w:sz w:val="24"/>
          <w:szCs w:val="24"/>
        </w:rPr>
        <w:t xml:space="preserve">ncias entorpecentes para determinado mercado consumidor, ou seja, </w:t>
      </w:r>
      <w:r w:rsidRPr="00695F46">
        <w:rPr>
          <w:rFonts w:ascii="Cambria" w:eastAsia="Cambria" w:hAnsi="Cambria" w:cs="Cambria"/>
          <w:b/>
          <w:sz w:val="24"/>
          <w:szCs w:val="24"/>
        </w:rPr>
        <w:t>estudantes</w:t>
      </w:r>
      <w:r w:rsidRPr="00695F46">
        <w:rPr>
          <w:rFonts w:ascii="Cambria" w:eastAsia="Cambria" w:hAnsi="Cambria" w:cs="Cambria"/>
          <w:sz w:val="24"/>
          <w:szCs w:val="24"/>
        </w:rPr>
        <w:t>, o que no presente caso não ocorreu.</w:t>
      </w:r>
    </w:p>
    <w:p w14:paraId="00000004" w14:textId="77777777" w:rsidR="006459A6" w:rsidRPr="00695F46" w:rsidRDefault="006459A6">
      <w:pPr>
        <w:widowControl w:val="0"/>
        <w:spacing w:line="360" w:lineRule="auto"/>
        <w:ind w:firstLine="2268"/>
        <w:jc w:val="both"/>
        <w:rPr>
          <w:rFonts w:ascii="Cambria" w:eastAsia="Cambria" w:hAnsi="Cambria" w:cs="Cambria"/>
          <w:sz w:val="24"/>
          <w:szCs w:val="24"/>
        </w:rPr>
      </w:pPr>
    </w:p>
    <w:p w14:paraId="00000005" w14:textId="77777777" w:rsidR="006459A6" w:rsidRPr="00695F46" w:rsidRDefault="00323E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Cambria" w:hAnsi="Cambria"/>
          <w:color w:val="000000"/>
          <w:sz w:val="24"/>
          <w:szCs w:val="24"/>
        </w:rPr>
      </w:pPr>
      <w:r w:rsidRPr="00695F46">
        <w:rPr>
          <w:rFonts w:ascii="Cambria" w:eastAsia="Cambria" w:hAnsi="Cambria" w:cs="Cambria"/>
          <w:color w:val="000000"/>
          <w:sz w:val="24"/>
          <w:szCs w:val="24"/>
        </w:rPr>
        <w:t xml:space="preserve">Assim, a causa de aumento da pena somente tem lugar quando o agente nos locais ali especificados se encontrar </w:t>
      </w:r>
      <w:r w:rsidRPr="00695F46">
        <w:rPr>
          <w:rFonts w:ascii="Cambria" w:eastAsia="Cambria" w:hAnsi="Cambria" w:cs="Cambria"/>
          <w:b/>
          <w:color w:val="000000"/>
          <w:sz w:val="24"/>
          <w:szCs w:val="24"/>
        </w:rPr>
        <w:t>com o intuito de conseguir clie</w:t>
      </w:r>
      <w:r w:rsidRPr="00695F46">
        <w:rPr>
          <w:rFonts w:ascii="Cambria" w:eastAsia="Cambria" w:hAnsi="Cambria" w:cs="Cambria"/>
          <w:b/>
          <w:color w:val="000000"/>
          <w:sz w:val="24"/>
          <w:szCs w:val="24"/>
        </w:rPr>
        <w:t>ntela ou ampliar seu comércio entre doentes, estudantes ou presidiários</w:t>
      </w:r>
      <w:r w:rsidRPr="00695F46">
        <w:rPr>
          <w:rFonts w:ascii="Cambria" w:eastAsia="Cambria" w:hAnsi="Cambria" w:cs="Cambria"/>
          <w:color w:val="000000"/>
          <w:sz w:val="24"/>
          <w:szCs w:val="24"/>
        </w:rPr>
        <w:t xml:space="preserve">, o que não ocorreu nesse caso. </w:t>
      </w:r>
    </w:p>
    <w:p w14:paraId="00000006" w14:textId="77777777" w:rsidR="006459A6" w:rsidRPr="00695F46" w:rsidRDefault="00645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07" w14:textId="77777777" w:rsidR="006459A6" w:rsidRPr="00695F46" w:rsidRDefault="00323E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Cambria" w:hAnsi="Cambria"/>
          <w:color w:val="000000"/>
          <w:sz w:val="24"/>
          <w:szCs w:val="24"/>
        </w:rPr>
      </w:pPr>
      <w:r w:rsidRPr="00695F46">
        <w:rPr>
          <w:rFonts w:ascii="Cambria" w:eastAsia="Cambria" w:hAnsi="Cambria" w:cs="Cambria"/>
          <w:color w:val="000000"/>
          <w:sz w:val="24"/>
          <w:szCs w:val="24"/>
        </w:rPr>
        <w:t xml:space="preserve">Nestes termos, o </w:t>
      </w:r>
      <w:r w:rsidRPr="00695F46">
        <w:rPr>
          <w:rFonts w:ascii="Cambria" w:eastAsia="Cambria" w:hAnsi="Cambria" w:cs="Cambria"/>
          <w:b/>
          <w:color w:val="000000"/>
          <w:sz w:val="24"/>
          <w:szCs w:val="24"/>
        </w:rPr>
        <w:t xml:space="preserve">simples fato de </w:t>
      </w:r>
      <w:r w:rsidRPr="00695F46">
        <w:rPr>
          <w:rFonts w:ascii="Cambria" w:eastAsia="Cambria" w:hAnsi="Cambria" w:cs="Cambria"/>
          <w:b/>
          <w:color w:val="000000"/>
          <w:sz w:val="24"/>
          <w:szCs w:val="24"/>
        </w:rPr>
        <w:t>o acusado</w:t>
      </w:r>
      <w:r w:rsidRPr="00695F46">
        <w:rPr>
          <w:rFonts w:ascii="Cambria" w:eastAsia="Cambria" w:hAnsi="Cambria" w:cs="Cambria"/>
          <w:b/>
          <w:color w:val="000000"/>
          <w:sz w:val="24"/>
          <w:szCs w:val="24"/>
        </w:rPr>
        <w:t xml:space="preserve"> ter sido surpreendido </w:t>
      </w:r>
      <w:r w:rsidRPr="00695F46">
        <w:rPr>
          <w:rFonts w:ascii="Cambria" w:eastAsia="Cambria" w:hAnsi="Cambria" w:cs="Cambria"/>
          <w:color w:val="000000"/>
          <w:sz w:val="24"/>
          <w:szCs w:val="24"/>
        </w:rPr>
        <w:t>próximo a escola</w:t>
      </w:r>
      <w:r w:rsidRPr="00695F46">
        <w:rPr>
          <w:rFonts w:ascii="Cambria" w:eastAsia="Cambria" w:hAnsi="Cambria" w:cs="Cambria"/>
          <w:color w:val="000000"/>
          <w:sz w:val="24"/>
          <w:szCs w:val="24"/>
        </w:rPr>
        <w:t xml:space="preserve"> não configura a causa de aumento (art. 40, III). Entendimento contrário traduzir-se-ia em </w:t>
      </w:r>
      <w:r w:rsidRPr="00695F46">
        <w:rPr>
          <w:rFonts w:ascii="Cambria" w:eastAsia="Cambria" w:hAnsi="Cambria" w:cs="Cambria"/>
          <w:b/>
          <w:color w:val="000000"/>
          <w:sz w:val="24"/>
          <w:szCs w:val="24"/>
        </w:rPr>
        <w:t>responsabilização objetiva</w:t>
      </w:r>
      <w:r w:rsidRPr="00695F46"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 w:rsidRPr="00695F46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vedada em nosso sistema penal</w:t>
      </w:r>
      <w:r w:rsidRPr="00695F46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00000008" w14:textId="77777777" w:rsidR="006459A6" w:rsidRPr="00695F46" w:rsidRDefault="006459A6">
      <w:pPr>
        <w:spacing w:line="360" w:lineRule="auto"/>
        <w:ind w:firstLine="2268"/>
        <w:jc w:val="both"/>
        <w:rPr>
          <w:rFonts w:ascii="Cambria" w:eastAsia="Cambria" w:hAnsi="Cambria" w:cs="Cambria"/>
          <w:sz w:val="24"/>
          <w:szCs w:val="24"/>
        </w:rPr>
      </w:pPr>
    </w:p>
    <w:p w14:paraId="00000009" w14:textId="750BA4C3" w:rsidR="006459A6" w:rsidRPr="00695F46" w:rsidRDefault="00323EAE">
      <w:pPr>
        <w:spacing w:line="360" w:lineRule="auto"/>
        <w:ind w:firstLine="2268"/>
        <w:jc w:val="both"/>
        <w:rPr>
          <w:rFonts w:ascii="Cambria" w:hAnsi="Cambria"/>
        </w:rPr>
      </w:pPr>
      <w:r w:rsidRPr="00695F46">
        <w:rPr>
          <w:rFonts w:ascii="Cambria" w:eastAsia="Cambria" w:hAnsi="Cambria" w:cs="Cambria"/>
          <w:sz w:val="24"/>
          <w:szCs w:val="24"/>
        </w:rPr>
        <w:t xml:space="preserve">Tanto é vedada a responsabilidade objetiva e tanto é imprescindível a </w:t>
      </w:r>
      <w:r w:rsidRPr="00695F46">
        <w:rPr>
          <w:rFonts w:ascii="Cambria" w:eastAsia="Cambria" w:hAnsi="Cambria" w:cs="Cambria"/>
          <w:b/>
          <w:sz w:val="24"/>
          <w:szCs w:val="24"/>
        </w:rPr>
        <w:t xml:space="preserve">demonstração concreta e inequívoca </w:t>
      </w:r>
      <w:r w:rsidRPr="00695F46">
        <w:rPr>
          <w:rFonts w:ascii="Cambria" w:eastAsia="Cambria" w:hAnsi="Cambria" w:cs="Cambria"/>
          <w:b/>
          <w:sz w:val="24"/>
          <w:szCs w:val="24"/>
        </w:rPr>
        <w:t>da finalidade</w:t>
      </w:r>
      <w:r w:rsidRPr="00695F46">
        <w:rPr>
          <w:rFonts w:ascii="Cambria" w:eastAsia="Cambria" w:hAnsi="Cambria" w:cs="Cambria"/>
          <w:sz w:val="24"/>
          <w:szCs w:val="24"/>
        </w:rPr>
        <w:t xml:space="preserve"> </w:t>
      </w:r>
      <w:r w:rsidRPr="00695F46">
        <w:rPr>
          <w:rFonts w:ascii="Cambria" w:eastAsia="Cambria" w:hAnsi="Cambria" w:cs="Cambria"/>
          <w:b/>
          <w:sz w:val="24"/>
          <w:szCs w:val="24"/>
        </w:rPr>
        <w:t>conquistar novo mercado consumidor</w:t>
      </w:r>
      <w:r w:rsidRPr="00695F46">
        <w:rPr>
          <w:rFonts w:ascii="Cambria" w:eastAsia="Cambria" w:hAnsi="Cambria" w:cs="Cambria"/>
          <w:sz w:val="24"/>
          <w:szCs w:val="24"/>
        </w:rPr>
        <w:t xml:space="preserve"> </w:t>
      </w:r>
      <w:r w:rsidRPr="00695F46">
        <w:rPr>
          <w:rFonts w:ascii="Cambria" w:eastAsia="Cambria" w:hAnsi="Cambria" w:cs="Cambria"/>
          <w:sz w:val="24"/>
          <w:szCs w:val="24"/>
        </w:rPr>
        <w:t xml:space="preserve">que </w:t>
      </w:r>
      <w:r w:rsidRPr="00695F46">
        <w:rPr>
          <w:rFonts w:ascii="Cambria" w:eastAsia="Cambria" w:hAnsi="Cambria" w:cs="Cambria"/>
          <w:b/>
          <w:sz w:val="24"/>
          <w:szCs w:val="24"/>
        </w:rPr>
        <w:t xml:space="preserve">a mera utilização de transporte público para o carregamento da droga </w:t>
      </w:r>
      <w:r w:rsidRPr="00695F46">
        <w:rPr>
          <w:rFonts w:ascii="Cambria" w:eastAsia="Cambria" w:hAnsi="Cambria" w:cs="Cambria"/>
          <w:sz w:val="24"/>
          <w:szCs w:val="24"/>
        </w:rPr>
        <w:t>(embora formalmente tipificada nesse dispositivo) não leva à aplicação da causa de aumento do artigo 40, III, da Lei 11.343/2006.</w:t>
      </w:r>
    </w:p>
    <w:p w14:paraId="0000000A" w14:textId="77777777" w:rsidR="006459A6" w:rsidRPr="00695F46" w:rsidRDefault="006459A6">
      <w:pPr>
        <w:spacing w:line="360" w:lineRule="auto"/>
        <w:ind w:firstLine="2268"/>
        <w:jc w:val="both"/>
        <w:rPr>
          <w:rFonts w:ascii="Cambria" w:eastAsia="Cambria" w:hAnsi="Cambria" w:cs="Cambria"/>
          <w:sz w:val="24"/>
          <w:szCs w:val="24"/>
        </w:rPr>
      </w:pPr>
    </w:p>
    <w:p w14:paraId="0000000B" w14:textId="03E936D0" w:rsidR="006459A6" w:rsidRPr="00695F46" w:rsidRDefault="00323EAE">
      <w:pPr>
        <w:spacing w:line="360" w:lineRule="auto"/>
        <w:ind w:firstLine="2268"/>
        <w:jc w:val="both"/>
        <w:rPr>
          <w:rFonts w:ascii="Cambria" w:hAnsi="Cambria"/>
        </w:rPr>
      </w:pPr>
      <w:r w:rsidRPr="00695F46">
        <w:rPr>
          <w:rFonts w:ascii="Cambria" w:eastAsia="Cambria" w:hAnsi="Cambria" w:cs="Cambria"/>
          <w:sz w:val="24"/>
          <w:szCs w:val="24"/>
        </w:rPr>
        <w:t>Nesse sentido notícia veiculada no informativo n° 573 do</w:t>
      </w:r>
      <w:r w:rsidRPr="00695F46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Pr="00695F46">
        <w:rPr>
          <w:rFonts w:ascii="Cambria" w:eastAsia="Cambria" w:hAnsi="Cambria" w:cs="Cambria"/>
          <w:sz w:val="24"/>
          <w:szCs w:val="24"/>
        </w:rPr>
        <w:t>S</w:t>
      </w:r>
      <w:r w:rsidR="00695F46" w:rsidRPr="00695F46">
        <w:rPr>
          <w:rFonts w:ascii="Cambria" w:eastAsia="Cambria" w:hAnsi="Cambria" w:cs="Cambria"/>
          <w:sz w:val="24"/>
          <w:szCs w:val="24"/>
        </w:rPr>
        <w:t>uperio</w:t>
      </w:r>
      <w:proofErr w:type="spellEnd"/>
      <w:r w:rsidR="00695F46" w:rsidRPr="00695F46">
        <w:rPr>
          <w:rFonts w:ascii="Cambria" w:eastAsia="Cambria" w:hAnsi="Cambria" w:cs="Cambria"/>
          <w:sz w:val="24"/>
          <w:szCs w:val="24"/>
        </w:rPr>
        <w:t xml:space="preserve"> </w:t>
      </w:r>
      <w:r w:rsidRPr="00695F46">
        <w:rPr>
          <w:rFonts w:ascii="Cambria" w:eastAsia="Cambria" w:hAnsi="Cambria" w:cs="Cambria"/>
          <w:sz w:val="24"/>
          <w:szCs w:val="24"/>
        </w:rPr>
        <w:t>T</w:t>
      </w:r>
      <w:r w:rsidR="00695F46" w:rsidRPr="00695F46">
        <w:rPr>
          <w:rFonts w:ascii="Cambria" w:eastAsia="Cambria" w:hAnsi="Cambria" w:cs="Cambria"/>
          <w:sz w:val="24"/>
          <w:szCs w:val="24"/>
        </w:rPr>
        <w:t xml:space="preserve">ribunal de </w:t>
      </w:r>
      <w:r w:rsidRPr="00695F46">
        <w:rPr>
          <w:rFonts w:ascii="Cambria" w:eastAsia="Cambria" w:hAnsi="Cambria" w:cs="Cambria"/>
          <w:sz w:val="24"/>
          <w:szCs w:val="24"/>
        </w:rPr>
        <w:t>J</w:t>
      </w:r>
      <w:r w:rsidR="00695F46" w:rsidRPr="00695F46">
        <w:rPr>
          <w:rFonts w:ascii="Cambria" w:eastAsia="Cambria" w:hAnsi="Cambria" w:cs="Cambria"/>
          <w:sz w:val="24"/>
          <w:szCs w:val="24"/>
        </w:rPr>
        <w:t>ustiça</w:t>
      </w:r>
      <w:r w:rsidRPr="00695F46">
        <w:rPr>
          <w:rFonts w:ascii="Cambria" w:eastAsia="Cambria" w:hAnsi="Cambria" w:cs="Cambria"/>
          <w:sz w:val="24"/>
          <w:szCs w:val="24"/>
        </w:rPr>
        <w:t xml:space="preserve">, cuja </w:t>
      </w:r>
      <w:proofErr w:type="spellStart"/>
      <w:r w:rsidRPr="00695F46">
        <w:rPr>
          <w:rFonts w:ascii="Cambria" w:eastAsia="Cambria" w:hAnsi="Cambria" w:cs="Cambria"/>
          <w:i/>
          <w:sz w:val="24"/>
          <w:szCs w:val="24"/>
        </w:rPr>
        <w:t>ratio</w:t>
      </w:r>
      <w:proofErr w:type="spellEnd"/>
      <w:r w:rsidRPr="00695F46">
        <w:rPr>
          <w:rFonts w:ascii="Cambria" w:eastAsia="Cambria" w:hAnsi="Cambria" w:cs="Cambria"/>
          <w:sz w:val="24"/>
          <w:szCs w:val="24"/>
        </w:rPr>
        <w:t xml:space="preserve"> se aplica ao caso versado nos autos:</w:t>
      </w:r>
    </w:p>
    <w:p w14:paraId="0000000C" w14:textId="77777777" w:rsidR="006459A6" w:rsidRPr="00695F46" w:rsidRDefault="006459A6">
      <w:pPr>
        <w:spacing w:line="360" w:lineRule="auto"/>
        <w:ind w:left="1134"/>
        <w:jc w:val="both"/>
        <w:rPr>
          <w:rFonts w:ascii="Cambria" w:hAnsi="Cambria"/>
        </w:rPr>
      </w:pPr>
    </w:p>
    <w:p w14:paraId="0000000D" w14:textId="23FDB7EE" w:rsidR="006459A6" w:rsidRPr="00695F46" w:rsidRDefault="00695F46">
      <w:pPr>
        <w:spacing w:line="360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“</w:t>
      </w:r>
      <w:r w:rsidR="00323EAE" w:rsidRPr="00695F46">
        <w:rPr>
          <w:rFonts w:ascii="Cambria" w:hAnsi="Cambria"/>
          <w:i/>
        </w:rPr>
        <w:t xml:space="preserve">DIREITO PENAL. UTILIZAÇÃO DE TRANSPORTE PÚBLICO PARA CONDUZIR DROGA ILÍCITA. O simples fato de o agente utilizar-se de transporte público para conduzir a droga não atrai a incidência da </w:t>
      </w:r>
      <w:proofErr w:type="spellStart"/>
      <w:r w:rsidR="00323EAE" w:rsidRPr="00695F46">
        <w:rPr>
          <w:rFonts w:ascii="Cambria" w:hAnsi="Cambria"/>
          <w:i/>
        </w:rPr>
        <w:t>ma</w:t>
      </w:r>
      <w:r w:rsidR="00323EAE" w:rsidRPr="00695F46">
        <w:rPr>
          <w:rFonts w:ascii="Cambria" w:hAnsi="Cambria"/>
          <w:i/>
        </w:rPr>
        <w:t>jorante</w:t>
      </w:r>
      <w:proofErr w:type="spellEnd"/>
      <w:r w:rsidR="00323EAE" w:rsidRPr="00695F46">
        <w:rPr>
          <w:rFonts w:ascii="Cambria" w:hAnsi="Cambria"/>
          <w:i/>
        </w:rPr>
        <w:t xml:space="preserve"> prevista no art. 40, III, da Lei de Drogas (11.343/2006), que deve ser aplicada </w:t>
      </w:r>
      <w:r w:rsidR="00323EAE" w:rsidRPr="00695F46">
        <w:rPr>
          <w:rFonts w:ascii="Cambria" w:hAnsi="Cambria"/>
          <w:b/>
          <w:i/>
        </w:rPr>
        <w:t>somente quando constatada a efetiva comercialização da substância em seu interior</w:t>
      </w:r>
      <w:r w:rsidR="00323EAE" w:rsidRPr="00695F46">
        <w:rPr>
          <w:rFonts w:ascii="Cambria" w:hAnsi="Cambria"/>
          <w:i/>
        </w:rPr>
        <w:t xml:space="preserve">. Precedente citado do STJ: </w:t>
      </w:r>
      <w:proofErr w:type="spellStart"/>
      <w:r w:rsidR="00323EAE" w:rsidRPr="00695F46">
        <w:rPr>
          <w:rFonts w:ascii="Cambria" w:hAnsi="Cambria"/>
          <w:i/>
        </w:rPr>
        <w:t>REsp</w:t>
      </w:r>
      <w:proofErr w:type="spellEnd"/>
      <w:r w:rsidR="00323EAE" w:rsidRPr="00695F46">
        <w:rPr>
          <w:rFonts w:ascii="Cambria" w:hAnsi="Cambria"/>
          <w:i/>
        </w:rPr>
        <w:t xml:space="preserve"> 1.345.827-AC, Quinta Turma, </w:t>
      </w:r>
      <w:proofErr w:type="spellStart"/>
      <w:r w:rsidR="00323EAE" w:rsidRPr="00695F46">
        <w:rPr>
          <w:rFonts w:ascii="Cambria" w:hAnsi="Cambria"/>
          <w:i/>
        </w:rPr>
        <w:t>DJe</w:t>
      </w:r>
      <w:proofErr w:type="spellEnd"/>
      <w:r w:rsidR="00323EAE" w:rsidRPr="00695F46">
        <w:rPr>
          <w:rFonts w:ascii="Cambria" w:hAnsi="Cambria"/>
          <w:i/>
        </w:rPr>
        <w:t xml:space="preserve"> 27/3/2014. Precedentes</w:t>
      </w:r>
      <w:r w:rsidR="00323EAE" w:rsidRPr="00695F46">
        <w:rPr>
          <w:rFonts w:ascii="Cambria" w:hAnsi="Cambria"/>
          <w:i/>
        </w:rPr>
        <w:t xml:space="preserve"> citados do STF: HC 119.782-MS, Primeira Turma, </w:t>
      </w:r>
      <w:proofErr w:type="spellStart"/>
      <w:r w:rsidR="00323EAE" w:rsidRPr="00695F46">
        <w:rPr>
          <w:rFonts w:ascii="Cambria" w:hAnsi="Cambria"/>
          <w:i/>
        </w:rPr>
        <w:t>DJe</w:t>
      </w:r>
      <w:proofErr w:type="spellEnd"/>
      <w:r w:rsidR="00323EAE" w:rsidRPr="00695F46">
        <w:rPr>
          <w:rFonts w:ascii="Cambria" w:hAnsi="Cambria"/>
          <w:i/>
        </w:rPr>
        <w:t xml:space="preserve"> 3/2/2014; e HC 115.815-PR, Segunda Turma, </w:t>
      </w:r>
      <w:proofErr w:type="spellStart"/>
      <w:r w:rsidR="00323EAE" w:rsidRPr="00695F46">
        <w:rPr>
          <w:rFonts w:ascii="Cambria" w:hAnsi="Cambria"/>
          <w:i/>
        </w:rPr>
        <w:t>DJe</w:t>
      </w:r>
      <w:proofErr w:type="spellEnd"/>
      <w:r w:rsidR="00323EAE" w:rsidRPr="00695F46">
        <w:rPr>
          <w:rFonts w:ascii="Cambria" w:hAnsi="Cambria"/>
          <w:i/>
        </w:rPr>
        <w:t xml:space="preserve"> 28.8.2013</w:t>
      </w:r>
      <w:r>
        <w:rPr>
          <w:rFonts w:ascii="Cambria" w:hAnsi="Cambria"/>
        </w:rPr>
        <w:t>”</w:t>
      </w:r>
      <w:r w:rsidR="00323EAE" w:rsidRPr="00695F46">
        <w:rPr>
          <w:rFonts w:ascii="Cambria" w:hAnsi="Cambria"/>
        </w:rPr>
        <w:t xml:space="preserve">. </w:t>
      </w:r>
      <w:proofErr w:type="spellStart"/>
      <w:r w:rsidR="00323EAE" w:rsidRPr="00695F46">
        <w:rPr>
          <w:rFonts w:ascii="Cambria" w:hAnsi="Cambria"/>
        </w:rPr>
        <w:t>AgRg</w:t>
      </w:r>
      <w:proofErr w:type="spellEnd"/>
      <w:r w:rsidR="00323EAE" w:rsidRPr="00695F46">
        <w:rPr>
          <w:rFonts w:ascii="Cambria" w:hAnsi="Cambria"/>
        </w:rPr>
        <w:t xml:space="preserve"> no </w:t>
      </w:r>
      <w:proofErr w:type="spellStart"/>
      <w:r w:rsidR="00323EAE" w:rsidRPr="00695F46">
        <w:rPr>
          <w:rFonts w:ascii="Cambria" w:hAnsi="Cambria"/>
        </w:rPr>
        <w:t>REsp</w:t>
      </w:r>
      <w:proofErr w:type="spellEnd"/>
      <w:r w:rsidR="00323EAE" w:rsidRPr="00695F46">
        <w:rPr>
          <w:rFonts w:ascii="Cambria" w:hAnsi="Cambria"/>
        </w:rPr>
        <w:t xml:space="preserve"> 1.295.786-MS, Rel. Min. Regina Helena Costa, julgado em 18/6/2014 (Vide Informativo n. 481) (Informativo nº 543).</w:t>
      </w:r>
    </w:p>
    <w:p w14:paraId="0000000E" w14:textId="77777777" w:rsidR="006459A6" w:rsidRPr="00695F46" w:rsidRDefault="006459A6">
      <w:pPr>
        <w:spacing w:line="360" w:lineRule="auto"/>
        <w:ind w:firstLine="2268"/>
        <w:jc w:val="both"/>
        <w:rPr>
          <w:rFonts w:ascii="Cambria" w:hAnsi="Cambria"/>
        </w:rPr>
      </w:pPr>
    </w:p>
    <w:p w14:paraId="0000000F" w14:textId="77777777" w:rsidR="006459A6" w:rsidRPr="00695F46" w:rsidRDefault="00323EAE">
      <w:pPr>
        <w:spacing w:line="360" w:lineRule="auto"/>
        <w:ind w:firstLine="2268"/>
        <w:jc w:val="both"/>
        <w:rPr>
          <w:rFonts w:ascii="Cambria" w:hAnsi="Cambria"/>
        </w:rPr>
      </w:pPr>
      <w:r w:rsidRPr="00695F46">
        <w:rPr>
          <w:rFonts w:ascii="Cambria" w:hAnsi="Cambria"/>
        </w:rPr>
        <w:t>No Supremo Tribunal</w:t>
      </w:r>
      <w:r w:rsidRPr="00695F46">
        <w:rPr>
          <w:rFonts w:ascii="Cambria" w:hAnsi="Cambria"/>
        </w:rPr>
        <w:t xml:space="preserve"> Federal:</w:t>
      </w:r>
    </w:p>
    <w:p w14:paraId="00000010" w14:textId="77777777" w:rsidR="006459A6" w:rsidRPr="00695F46" w:rsidRDefault="006459A6">
      <w:pPr>
        <w:spacing w:line="360" w:lineRule="auto"/>
        <w:ind w:firstLine="2268"/>
        <w:jc w:val="both"/>
        <w:rPr>
          <w:rFonts w:ascii="Cambria" w:hAnsi="Cambria"/>
        </w:rPr>
      </w:pPr>
    </w:p>
    <w:p w14:paraId="3D6CF739" w14:textId="77777777" w:rsidR="00695F46" w:rsidRDefault="00695F46">
      <w:pPr>
        <w:spacing w:line="360" w:lineRule="auto"/>
        <w:ind w:left="1134"/>
        <w:jc w:val="both"/>
        <w:rPr>
          <w:rFonts w:ascii="Cambria" w:hAnsi="Cambria"/>
          <w:i/>
        </w:rPr>
      </w:pPr>
      <w:r>
        <w:rPr>
          <w:rFonts w:ascii="Cambria" w:hAnsi="Cambria"/>
        </w:rPr>
        <w:t>“</w:t>
      </w:r>
      <w:r w:rsidR="00323EAE" w:rsidRPr="00695F46">
        <w:rPr>
          <w:rFonts w:ascii="Cambria" w:hAnsi="Cambria"/>
          <w:i/>
        </w:rPr>
        <w:t>HABEAS CORPUS. PENAL. PROCESSUAL PENAL. LEI DE DROGAS – LEI 11.343/2006. TRAFICÂNCIA EM TRANSPORTE PÚBLICO. NÃO INCIDÊNCIA DA CAUSA DE AUMENTO. AUSÊNCIA DE MERCANCIA. AFASTAMENTO NO CASO DE MERA UTILIZAÇÃO DO TRANSPORTE PÚBLICO PARA CARREGAMENTO</w:t>
      </w:r>
      <w:r w:rsidR="00323EAE" w:rsidRPr="00695F46">
        <w:rPr>
          <w:rFonts w:ascii="Cambria" w:hAnsi="Cambria"/>
          <w:i/>
        </w:rPr>
        <w:t xml:space="preserve"> DO ENTORPECENTE. TELEOLOGIA DA NORMA. JURISPRUDÊNCIA DE AMBAS AS TURMAS. ORDEM CONCEDIDA. </w:t>
      </w:r>
    </w:p>
    <w:p w14:paraId="111318CA" w14:textId="77777777" w:rsidR="00695F46" w:rsidRDefault="00323EAE">
      <w:pPr>
        <w:spacing w:line="360" w:lineRule="auto"/>
        <w:ind w:left="1134"/>
        <w:jc w:val="both"/>
        <w:rPr>
          <w:rFonts w:ascii="Cambria" w:hAnsi="Cambria"/>
          <w:i/>
        </w:rPr>
      </w:pPr>
      <w:r w:rsidRPr="00695F46">
        <w:rPr>
          <w:rFonts w:ascii="Cambria" w:hAnsi="Cambria"/>
          <w:i/>
        </w:rPr>
        <w:t xml:space="preserve">I - A mera utilização do transporte público para o carregamento do entorpecente não é suficiente para a aplicação da causa de aumento de pena prevista no inciso III </w:t>
      </w:r>
      <w:r w:rsidRPr="00695F46">
        <w:rPr>
          <w:rFonts w:ascii="Cambria" w:hAnsi="Cambria"/>
          <w:i/>
        </w:rPr>
        <w:t xml:space="preserve">do art. 40 da Lei 11.343/2006. Precedentes de ambas as Turmas. Orientação consolidada. </w:t>
      </w:r>
    </w:p>
    <w:p w14:paraId="44C848A7" w14:textId="77777777" w:rsidR="00695F46" w:rsidRDefault="00323EAE">
      <w:pPr>
        <w:spacing w:line="360" w:lineRule="auto"/>
        <w:ind w:left="1134"/>
        <w:jc w:val="both"/>
        <w:rPr>
          <w:rFonts w:ascii="Cambria" w:hAnsi="Cambria"/>
          <w:i/>
        </w:rPr>
      </w:pPr>
      <w:r w:rsidRPr="00695F46">
        <w:rPr>
          <w:rFonts w:ascii="Cambria" w:hAnsi="Cambria"/>
          <w:i/>
        </w:rPr>
        <w:t xml:space="preserve">II - </w:t>
      </w:r>
      <w:r w:rsidRPr="00695F46">
        <w:rPr>
          <w:rFonts w:ascii="Cambria" w:hAnsi="Cambria"/>
          <w:b/>
          <w:i/>
        </w:rPr>
        <w:t>A teleologia da norma é conferir maior reprovação ao traficante que pode atingir um grande número de pessoas, as quais se encontram em particular situação de vulner</w:t>
      </w:r>
      <w:r w:rsidRPr="00695F46">
        <w:rPr>
          <w:rFonts w:ascii="Cambria" w:hAnsi="Cambria"/>
          <w:b/>
          <w:i/>
        </w:rPr>
        <w:t>abilidade</w:t>
      </w:r>
      <w:r w:rsidRPr="00695F46">
        <w:rPr>
          <w:rFonts w:ascii="Cambria" w:hAnsi="Cambria"/>
          <w:i/>
        </w:rPr>
        <w:t xml:space="preserve">. </w:t>
      </w:r>
    </w:p>
    <w:p w14:paraId="00000011" w14:textId="24AABAAD" w:rsidR="006459A6" w:rsidRPr="00695F46" w:rsidRDefault="00323EAE">
      <w:pPr>
        <w:spacing w:line="360" w:lineRule="auto"/>
        <w:ind w:left="1134"/>
        <w:jc w:val="both"/>
        <w:rPr>
          <w:rFonts w:ascii="Cambria" w:hAnsi="Cambria"/>
        </w:rPr>
      </w:pPr>
      <w:r w:rsidRPr="00695F46">
        <w:rPr>
          <w:rFonts w:ascii="Cambria" w:hAnsi="Cambria"/>
          <w:i/>
        </w:rPr>
        <w:t>III – Ordem concedida para afastar a aplicação da causa de aumento de pena prevista no inciso III do art. 40 da Lei 11.343/2006</w:t>
      </w:r>
      <w:r w:rsidR="00695F46">
        <w:rPr>
          <w:rFonts w:ascii="Cambria" w:hAnsi="Cambria"/>
        </w:rPr>
        <w:t>”.</w:t>
      </w:r>
    </w:p>
    <w:p w14:paraId="00000012" w14:textId="77777777" w:rsidR="006459A6" w:rsidRPr="00695F46" w:rsidRDefault="00323EAE">
      <w:pPr>
        <w:spacing w:line="360" w:lineRule="auto"/>
        <w:ind w:left="1134"/>
        <w:jc w:val="both"/>
        <w:rPr>
          <w:rFonts w:ascii="Cambria" w:hAnsi="Cambria"/>
        </w:rPr>
      </w:pPr>
      <w:r w:rsidRPr="00695F46">
        <w:rPr>
          <w:rFonts w:ascii="Cambria" w:hAnsi="Cambria"/>
        </w:rPr>
        <w:t xml:space="preserve">(HC nº 120.624/MS, Segunda Turma, relatora Ministra </w:t>
      </w:r>
      <w:proofErr w:type="spellStart"/>
      <w:r w:rsidRPr="00695F46">
        <w:rPr>
          <w:rFonts w:ascii="Cambria" w:hAnsi="Cambria"/>
        </w:rPr>
        <w:t>Cármen</w:t>
      </w:r>
      <w:proofErr w:type="spellEnd"/>
      <w:r w:rsidRPr="00695F46">
        <w:rPr>
          <w:rFonts w:ascii="Cambria" w:hAnsi="Cambria"/>
        </w:rPr>
        <w:t xml:space="preserve"> Lúcia, </w:t>
      </w:r>
      <w:proofErr w:type="spellStart"/>
      <w:r w:rsidRPr="00695F46">
        <w:rPr>
          <w:rFonts w:ascii="Cambria" w:hAnsi="Cambria"/>
        </w:rPr>
        <w:t>DJe</w:t>
      </w:r>
      <w:proofErr w:type="spellEnd"/>
      <w:r w:rsidRPr="00695F46">
        <w:rPr>
          <w:rFonts w:ascii="Cambria" w:hAnsi="Cambria"/>
        </w:rPr>
        <w:t xml:space="preserve"> de 10/10/2014)</w:t>
      </w:r>
    </w:p>
    <w:p w14:paraId="00000013" w14:textId="77777777" w:rsidR="006459A6" w:rsidRPr="00695F46" w:rsidRDefault="006459A6">
      <w:pPr>
        <w:spacing w:line="360" w:lineRule="auto"/>
        <w:ind w:firstLine="2268"/>
        <w:jc w:val="both"/>
        <w:rPr>
          <w:rFonts w:ascii="Cambria" w:hAnsi="Cambria"/>
        </w:rPr>
      </w:pPr>
    </w:p>
    <w:p w14:paraId="00000014" w14:textId="77777777" w:rsidR="006459A6" w:rsidRPr="00695F46" w:rsidRDefault="00323EAE">
      <w:pPr>
        <w:spacing w:line="360" w:lineRule="auto"/>
        <w:ind w:firstLine="2268"/>
        <w:jc w:val="both"/>
        <w:rPr>
          <w:rFonts w:ascii="Cambria" w:hAnsi="Cambria"/>
          <w:sz w:val="24"/>
          <w:szCs w:val="24"/>
        </w:rPr>
      </w:pPr>
      <w:r w:rsidRPr="00695F46">
        <w:rPr>
          <w:rFonts w:ascii="Cambria" w:hAnsi="Cambria"/>
          <w:sz w:val="24"/>
          <w:szCs w:val="24"/>
        </w:rPr>
        <w:t xml:space="preserve">Ademais, não foram juntados mapas aos autos capazes de comprovar a proximidade do local dos fatos com a escola. </w:t>
      </w:r>
    </w:p>
    <w:p w14:paraId="00000015" w14:textId="77777777" w:rsidR="006459A6" w:rsidRPr="00695F46" w:rsidRDefault="006459A6">
      <w:pPr>
        <w:spacing w:line="360" w:lineRule="auto"/>
        <w:ind w:left="1134" w:firstLine="2268"/>
        <w:jc w:val="both"/>
        <w:rPr>
          <w:rFonts w:ascii="Cambria" w:hAnsi="Cambria"/>
          <w:sz w:val="24"/>
          <w:szCs w:val="24"/>
        </w:rPr>
      </w:pPr>
    </w:p>
    <w:p w14:paraId="00000016" w14:textId="0D17ADAB" w:rsidR="006459A6" w:rsidRPr="00695F46" w:rsidRDefault="00323EAE">
      <w:pPr>
        <w:spacing w:line="360" w:lineRule="auto"/>
        <w:ind w:firstLine="2268"/>
        <w:jc w:val="both"/>
        <w:rPr>
          <w:rFonts w:ascii="Cambria" w:hAnsi="Cambria"/>
          <w:sz w:val="24"/>
          <w:szCs w:val="24"/>
        </w:rPr>
      </w:pPr>
      <w:r w:rsidRPr="00695F46">
        <w:rPr>
          <w:rFonts w:ascii="Cambria" w:hAnsi="Cambria"/>
          <w:sz w:val="24"/>
          <w:szCs w:val="24"/>
        </w:rPr>
        <w:t xml:space="preserve">Desta forma, diante da falta de provas de que os fatos se deram em frente ao mencionado estabelecimento de ensino e da não comprovação </w:t>
      </w:r>
      <w:r w:rsidRPr="00695F46">
        <w:rPr>
          <w:rFonts w:ascii="Cambria" w:hAnsi="Cambria"/>
          <w:sz w:val="24"/>
          <w:szCs w:val="24"/>
        </w:rPr>
        <w:lastRenderedPageBreak/>
        <w:t>da exis</w:t>
      </w:r>
      <w:r w:rsidRPr="00695F46">
        <w:rPr>
          <w:rFonts w:ascii="Cambria" w:hAnsi="Cambria"/>
          <w:sz w:val="24"/>
          <w:szCs w:val="24"/>
        </w:rPr>
        <w:t>tência do elemento subjetivo, é imperioso o afastamento da causa de aumento do art. 40, inc</w:t>
      </w:r>
      <w:r w:rsidR="00695F46">
        <w:rPr>
          <w:rFonts w:ascii="Cambria" w:hAnsi="Cambria"/>
          <w:sz w:val="24"/>
          <w:szCs w:val="24"/>
        </w:rPr>
        <w:t>iso</w:t>
      </w:r>
      <w:r w:rsidRPr="00695F46">
        <w:rPr>
          <w:rFonts w:ascii="Cambria" w:hAnsi="Cambria"/>
          <w:sz w:val="24"/>
          <w:szCs w:val="24"/>
        </w:rPr>
        <w:t xml:space="preserve"> III, da Lei nº 11.343/06.</w:t>
      </w:r>
    </w:p>
    <w:p w14:paraId="00000017" w14:textId="77777777" w:rsidR="006459A6" w:rsidRPr="00695F46" w:rsidRDefault="00323EAE">
      <w:pPr>
        <w:ind w:firstLine="2268"/>
        <w:rPr>
          <w:rFonts w:ascii="Cambria" w:hAnsi="Cambria"/>
        </w:rPr>
      </w:pPr>
      <w:r w:rsidRPr="00695F46">
        <w:rPr>
          <w:rFonts w:ascii="Cambria" w:hAnsi="Cambria"/>
        </w:rPr>
        <w:tab/>
      </w:r>
      <w:r w:rsidRPr="00695F46">
        <w:rPr>
          <w:rFonts w:ascii="Cambria" w:hAnsi="Cambria"/>
        </w:rPr>
        <w:tab/>
      </w:r>
      <w:r w:rsidRPr="00695F46">
        <w:rPr>
          <w:rFonts w:ascii="Cambria" w:hAnsi="Cambria"/>
        </w:rPr>
        <w:tab/>
      </w:r>
    </w:p>
    <w:p w14:paraId="00000018" w14:textId="77777777" w:rsidR="006459A6" w:rsidRPr="00695F46" w:rsidRDefault="006459A6">
      <w:pPr>
        <w:rPr>
          <w:rFonts w:ascii="Cambria" w:hAnsi="Cambria"/>
        </w:rPr>
      </w:pPr>
    </w:p>
    <w:p w14:paraId="00000019" w14:textId="77777777" w:rsidR="006459A6" w:rsidRPr="00695F46" w:rsidRDefault="006459A6">
      <w:pPr>
        <w:rPr>
          <w:rFonts w:ascii="Cambria" w:hAnsi="Cambria"/>
        </w:rPr>
      </w:pPr>
    </w:p>
    <w:p w14:paraId="0000001A" w14:textId="77777777" w:rsidR="006459A6" w:rsidRPr="00695F46" w:rsidRDefault="006459A6">
      <w:pPr>
        <w:rPr>
          <w:rFonts w:ascii="Cambria" w:hAnsi="Cambria"/>
        </w:rPr>
      </w:pPr>
    </w:p>
    <w:p w14:paraId="0000001B" w14:textId="77777777" w:rsidR="006459A6" w:rsidRPr="00695F46" w:rsidRDefault="006459A6">
      <w:pPr>
        <w:rPr>
          <w:rFonts w:ascii="Cambria" w:hAnsi="Cambria"/>
        </w:rPr>
      </w:pPr>
    </w:p>
    <w:p w14:paraId="0000001C" w14:textId="77777777" w:rsidR="006459A6" w:rsidRPr="00695F46" w:rsidRDefault="006459A6">
      <w:pPr>
        <w:rPr>
          <w:rFonts w:ascii="Cambria" w:hAnsi="Cambria"/>
        </w:rPr>
      </w:pPr>
    </w:p>
    <w:p w14:paraId="0000001D" w14:textId="77777777" w:rsidR="006459A6" w:rsidRPr="00695F46" w:rsidRDefault="006459A6">
      <w:pPr>
        <w:rPr>
          <w:rFonts w:ascii="Cambria" w:hAnsi="Cambria"/>
        </w:rPr>
      </w:pPr>
    </w:p>
    <w:p w14:paraId="0000001E" w14:textId="77777777" w:rsidR="006459A6" w:rsidRPr="00695F46" w:rsidRDefault="006459A6">
      <w:pPr>
        <w:rPr>
          <w:rFonts w:ascii="Cambria" w:hAnsi="Cambria"/>
        </w:rPr>
      </w:pPr>
    </w:p>
    <w:p w14:paraId="0000001F" w14:textId="77777777" w:rsidR="006459A6" w:rsidRPr="00695F46" w:rsidRDefault="006459A6">
      <w:pPr>
        <w:rPr>
          <w:rFonts w:ascii="Cambria" w:hAnsi="Cambria"/>
        </w:rPr>
      </w:pPr>
    </w:p>
    <w:p w14:paraId="00000020" w14:textId="77777777" w:rsidR="006459A6" w:rsidRPr="00695F46" w:rsidRDefault="006459A6">
      <w:pPr>
        <w:rPr>
          <w:rFonts w:ascii="Cambria" w:hAnsi="Cambria"/>
        </w:rPr>
      </w:pPr>
    </w:p>
    <w:p w14:paraId="00000021" w14:textId="77777777" w:rsidR="006459A6" w:rsidRPr="00695F46" w:rsidRDefault="006459A6">
      <w:pPr>
        <w:rPr>
          <w:rFonts w:ascii="Cambria" w:hAnsi="Cambria"/>
        </w:rPr>
      </w:pPr>
    </w:p>
    <w:p w14:paraId="00000022" w14:textId="77777777" w:rsidR="006459A6" w:rsidRPr="00695F46" w:rsidRDefault="006459A6">
      <w:pPr>
        <w:rPr>
          <w:rFonts w:ascii="Cambria" w:hAnsi="Cambria"/>
        </w:rPr>
      </w:pPr>
    </w:p>
    <w:p w14:paraId="00000023" w14:textId="77777777" w:rsidR="006459A6" w:rsidRPr="00695F46" w:rsidRDefault="006459A6">
      <w:pPr>
        <w:rPr>
          <w:rFonts w:ascii="Cambria" w:hAnsi="Cambria"/>
        </w:rPr>
      </w:pPr>
    </w:p>
    <w:p w14:paraId="00000024" w14:textId="77777777" w:rsidR="006459A6" w:rsidRPr="00695F46" w:rsidRDefault="006459A6">
      <w:pPr>
        <w:rPr>
          <w:rFonts w:ascii="Cambria" w:hAnsi="Cambria"/>
        </w:rPr>
      </w:pPr>
    </w:p>
    <w:p w14:paraId="00000025" w14:textId="77777777" w:rsidR="006459A6" w:rsidRPr="00695F46" w:rsidRDefault="006459A6">
      <w:pPr>
        <w:rPr>
          <w:rFonts w:ascii="Cambria" w:hAnsi="Cambria"/>
        </w:rPr>
      </w:pPr>
    </w:p>
    <w:p w14:paraId="00000026" w14:textId="77777777" w:rsidR="006459A6" w:rsidRPr="00695F46" w:rsidRDefault="006459A6">
      <w:pPr>
        <w:rPr>
          <w:rFonts w:ascii="Cambria" w:hAnsi="Cambria"/>
        </w:rPr>
      </w:pPr>
    </w:p>
    <w:p w14:paraId="00000027" w14:textId="77777777" w:rsidR="006459A6" w:rsidRPr="00695F46" w:rsidRDefault="006459A6">
      <w:pPr>
        <w:rPr>
          <w:rFonts w:ascii="Cambria" w:hAnsi="Cambria"/>
        </w:rPr>
      </w:pPr>
    </w:p>
    <w:p w14:paraId="00000028" w14:textId="77777777" w:rsidR="006459A6" w:rsidRPr="00695F46" w:rsidRDefault="006459A6">
      <w:pPr>
        <w:rPr>
          <w:rFonts w:ascii="Cambria" w:hAnsi="Cambria"/>
        </w:rPr>
      </w:pPr>
    </w:p>
    <w:p w14:paraId="00000029" w14:textId="77777777" w:rsidR="006459A6" w:rsidRPr="00695F46" w:rsidRDefault="006459A6">
      <w:pPr>
        <w:rPr>
          <w:rFonts w:ascii="Cambria" w:hAnsi="Cambria"/>
        </w:rPr>
      </w:pPr>
    </w:p>
    <w:p w14:paraId="0000002A" w14:textId="77777777" w:rsidR="006459A6" w:rsidRPr="00695F46" w:rsidRDefault="006459A6">
      <w:pPr>
        <w:rPr>
          <w:rFonts w:ascii="Cambria" w:hAnsi="Cambria"/>
        </w:rPr>
      </w:pPr>
    </w:p>
    <w:p w14:paraId="0000002B" w14:textId="77777777" w:rsidR="006459A6" w:rsidRPr="00695F46" w:rsidRDefault="006459A6">
      <w:pPr>
        <w:rPr>
          <w:rFonts w:ascii="Cambria" w:hAnsi="Cambria"/>
        </w:rPr>
      </w:pPr>
    </w:p>
    <w:p w14:paraId="0000002C" w14:textId="77777777" w:rsidR="006459A6" w:rsidRPr="00695F46" w:rsidRDefault="006459A6">
      <w:pPr>
        <w:rPr>
          <w:rFonts w:ascii="Cambria" w:hAnsi="Cambria"/>
        </w:rPr>
      </w:pPr>
    </w:p>
    <w:p w14:paraId="0000002D" w14:textId="77777777" w:rsidR="006459A6" w:rsidRPr="00695F46" w:rsidRDefault="006459A6">
      <w:pPr>
        <w:rPr>
          <w:rFonts w:ascii="Cambria" w:hAnsi="Cambria"/>
        </w:rPr>
      </w:pPr>
    </w:p>
    <w:p w14:paraId="0000002E" w14:textId="77777777" w:rsidR="006459A6" w:rsidRPr="00695F46" w:rsidRDefault="006459A6">
      <w:pPr>
        <w:rPr>
          <w:rFonts w:ascii="Cambria" w:hAnsi="Cambria"/>
        </w:rPr>
      </w:pPr>
    </w:p>
    <w:p w14:paraId="0000002F" w14:textId="77777777" w:rsidR="006459A6" w:rsidRPr="00695F46" w:rsidRDefault="006459A6">
      <w:pPr>
        <w:rPr>
          <w:rFonts w:ascii="Cambria" w:hAnsi="Cambria"/>
        </w:rPr>
      </w:pPr>
    </w:p>
    <w:p w14:paraId="00000030" w14:textId="77777777" w:rsidR="006459A6" w:rsidRPr="00695F46" w:rsidRDefault="006459A6">
      <w:pPr>
        <w:rPr>
          <w:rFonts w:ascii="Cambria" w:hAnsi="Cambria"/>
        </w:rPr>
      </w:pPr>
    </w:p>
    <w:p w14:paraId="00000031" w14:textId="77777777" w:rsidR="006459A6" w:rsidRPr="00695F46" w:rsidRDefault="006459A6">
      <w:pPr>
        <w:rPr>
          <w:rFonts w:ascii="Cambria" w:hAnsi="Cambria"/>
        </w:rPr>
      </w:pPr>
    </w:p>
    <w:p w14:paraId="00000032" w14:textId="77777777" w:rsidR="006459A6" w:rsidRPr="00695F46" w:rsidRDefault="006459A6">
      <w:pPr>
        <w:rPr>
          <w:rFonts w:ascii="Cambria" w:hAnsi="Cambria"/>
        </w:rPr>
      </w:pPr>
    </w:p>
    <w:p w14:paraId="00000033" w14:textId="77777777" w:rsidR="006459A6" w:rsidRPr="00695F46" w:rsidRDefault="006459A6">
      <w:pPr>
        <w:rPr>
          <w:rFonts w:ascii="Cambria" w:hAnsi="Cambria"/>
        </w:rPr>
      </w:pPr>
    </w:p>
    <w:p w14:paraId="00000034" w14:textId="77777777" w:rsidR="006459A6" w:rsidRPr="00695F46" w:rsidRDefault="006459A6">
      <w:pPr>
        <w:rPr>
          <w:rFonts w:ascii="Cambria" w:hAnsi="Cambria"/>
        </w:rPr>
      </w:pPr>
    </w:p>
    <w:p w14:paraId="00000035" w14:textId="77777777" w:rsidR="006459A6" w:rsidRPr="00695F46" w:rsidRDefault="00323EAE">
      <w:pPr>
        <w:tabs>
          <w:tab w:val="left" w:pos="2835"/>
        </w:tabs>
        <w:rPr>
          <w:rFonts w:ascii="Cambria" w:hAnsi="Cambria"/>
        </w:rPr>
      </w:pPr>
      <w:r w:rsidRPr="00695F46">
        <w:rPr>
          <w:rFonts w:ascii="Cambria" w:hAnsi="Cambria"/>
        </w:rPr>
        <w:tab/>
      </w:r>
    </w:p>
    <w:sectPr w:rsidR="006459A6" w:rsidRPr="00695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96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E9600" w14:textId="77777777" w:rsidR="00323EAE" w:rsidRDefault="00323EAE">
      <w:r>
        <w:separator/>
      </w:r>
    </w:p>
  </w:endnote>
  <w:endnote w:type="continuationSeparator" w:id="0">
    <w:p w14:paraId="6E36A9E4" w14:textId="77777777" w:rsidR="00323EAE" w:rsidRDefault="003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1552" w14:textId="77777777" w:rsidR="003D786D" w:rsidRDefault="003D78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7" w14:textId="77777777" w:rsidR="006459A6" w:rsidRDefault="00323EAE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color w:val="000000"/>
      </w:rPr>
    </w:pPr>
    <w:r>
      <w:rPr>
        <w:rFonts w:ascii="Cambria" w:eastAsia="Cambria" w:hAnsi="Cambria" w:cs="Cambria"/>
        <w:color w:val="000000"/>
        <w:sz w:val="16"/>
        <w:szCs w:val="16"/>
      </w:rPr>
      <w:t>Rua Jorge Figueiredo Corrêa, 1219, Campinas/SP, CEP 13087-261, Telefone (19) 3256-1821</w:t>
    </w:r>
  </w:p>
  <w:p w14:paraId="00000038" w14:textId="57D2FE43" w:rsidR="006459A6" w:rsidRDefault="00323EAE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ascii="Cambria" w:eastAsia="Cambria" w:hAnsi="Cambria" w:cs="Cambria"/>
        <w:b/>
        <w:color w:val="000000"/>
        <w:sz w:val="16"/>
        <w:szCs w:val="16"/>
      </w:rPr>
    </w:pPr>
    <w:r>
      <w:rPr>
        <w:rFonts w:ascii="Cambria" w:eastAsia="Cambria" w:hAnsi="Cambria" w:cs="Cambria"/>
        <w:b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color w:val="000000"/>
        <w:sz w:val="16"/>
        <w:szCs w:val="16"/>
      </w:rPr>
      <w:instrText>PAGE</w:instrText>
    </w:r>
    <w:r w:rsidR="003D786D">
      <w:rPr>
        <w:rFonts w:ascii="Cambria" w:eastAsia="Cambria" w:hAnsi="Cambria" w:cs="Cambria"/>
        <w:b/>
        <w:color w:val="000000"/>
        <w:sz w:val="16"/>
        <w:szCs w:val="16"/>
      </w:rPr>
      <w:fldChar w:fldCharType="separate"/>
    </w:r>
    <w:r w:rsidR="003D786D">
      <w:rPr>
        <w:rFonts w:ascii="Cambria" w:eastAsia="Cambria" w:hAnsi="Cambria" w:cs="Cambria"/>
        <w:b/>
        <w:noProof/>
        <w:color w:val="000000"/>
        <w:sz w:val="16"/>
        <w:szCs w:val="16"/>
      </w:rPr>
      <w:t>1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ED74" w14:textId="77777777" w:rsidR="003D786D" w:rsidRDefault="003D78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5990" w14:textId="77777777" w:rsidR="00323EAE" w:rsidRDefault="00323EAE">
      <w:r>
        <w:separator/>
      </w:r>
    </w:p>
  </w:footnote>
  <w:footnote w:type="continuationSeparator" w:id="0">
    <w:p w14:paraId="48F2DF29" w14:textId="77777777" w:rsidR="00323EAE" w:rsidRDefault="0032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6096C" w14:textId="77777777" w:rsidR="003D786D" w:rsidRDefault="003D78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6" w14:textId="77777777" w:rsidR="006459A6" w:rsidRDefault="00323EA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9DB9C" w14:textId="77777777" w:rsidR="003D786D" w:rsidRDefault="003D78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A6"/>
    <w:rsid w:val="00323EAE"/>
    <w:rsid w:val="003D786D"/>
    <w:rsid w:val="006459A6"/>
    <w:rsid w:val="0069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327D2"/>
  <w15:docId w15:val="{FEE4812B-617A-5C44-B2EF-250B34AC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firstLine="3544"/>
      <w:jc w:val="both"/>
      <w:outlineLvl w:val="0"/>
    </w:pPr>
    <w:rPr>
      <w:rFonts w:ascii="Garamond" w:eastAsia="Garamond" w:hAnsi="Garamond" w:cs="Garamond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D7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786D"/>
  </w:style>
  <w:style w:type="paragraph" w:styleId="Rodap">
    <w:name w:val="footer"/>
    <w:basedOn w:val="Normal"/>
    <w:link w:val="RodapChar"/>
    <w:uiPriority w:val="99"/>
    <w:unhideWhenUsed/>
    <w:rsid w:val="003D7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Martinelli Scrignoli</cp:lastModifiedBy>
  <cp:revision>2</cp:revision>
  <dcterms:created xsi:type="dcterms:W3CDTF">2021-04-17T10:14:00Z</dcterms:created>
  <dcterms:modified xsi:type="dcterms:W3CDTF">2021-04-17T14:54:00Z</dcterms:modified>
</cp:coreProperties>
</file>