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66" w:rsidRPr="0062531B" w:rsidRDefault="00900B66">
      <w:pPr>
        <w:rPr>
          <w:u w:val="single"/>
        </w:rPr>
      </w:pPr>
      <w:r w:rsidRPr="0062531B">
        <w:rPr>
          <w:u w:val="single"/>
        </w:rPr>
        <w:t xml:space="preserve">PRINCÍPIOS E ATRIBUIÇÕES INSTITUCIONAIS DA DEFENSORIA PÚBLICA </w:t>
      </w:r>
      <w:r w:rsidR="003E0B42" w:rsidRPr="0062531B">
        <w:rPr>
          <w:u w:val="single"/>
        </w:rPr>
        <w:t xml:space="preserve">(treino </w:t>
      </w:r>
      <w:r w:rsidR="0062531B" w:rsidRPr="0062531B">
        <w:rPr>
          <w:u w:val="single"/>
        </w:rPr>
        <w:t>para</w:t>
      </w:r>
      <w:r w:rsidR="003E0B42" w:rsidRPr="0062531B">
        <w:rPr>
          <w:u w:val="single"/>
        </w:rPr>
        <w:t xml:space="preserve"> DPE/GO)</w:t>
      </w:r>
    </w:p>
    <w:p w:rsidR="00900B66" w:rsidRDefault="00900B66"/>
    <w:p w:rsidR="00900B66" w:rsidRPr="00900B66" w:rsidRDefault="00900B66">
      <w:pPr>
        <w:rPr>
          <w:b/>
        </w:rPr>
      </w:pPr>
      <w:r w:rsidRPr="00900B66">
        <w:rPr>
          <w:b/>
        </w:rPr>
        <w:t>QUESTÃO 01</w:t>
      </w:r>
    </w:p>
    <w:p w:rsidR="00900B66" w:rsidRPr="0080468C" w:rsidRDefault="0080468C" w:rsidP="0080468C">
      <w:pPr>
        <w:jc w:val="both"/>
        <w:rPr>
          <w:b/>
        </w:rPr>
      </w:pPr>
      <w:r>
        <w:t>Atendo-se à disciplina da Defensoria Pública n</w:t>
      </w:r>
      <w:r w:rsidR="00C06618">
        <w:t>a Constituição Federal</w:t>
      </w:r>
      <w:r>
        <w:t xml:space="preserve">, assinale a afirmativa </w:t>
      </w:r>
      <w:r>
        <w:rPr>
          <w:b/>
        </w:rPr>
        <w:t>incorreta.</w:t>
      </w:r>
    </w:p>
    <w:p w:rsidR="00E03015" w:rsidRDefault="00E03015" w:rsidP="00EA2AED">
      <w:pPr>
        <w:jc w:val="both"/>
      </w:pPr>
      <w:r>
        <w:t>A)</w:t>
      </w:r>
      <w:r w:rsidR="0080468C">
        <w:t xml:space="preserve"> A </w:t>
      </w:r>
      <w:r w:rsidR="00C06618">
        <w:t>competência para legislar sobre assistência jurídica e Defensoria Pública é concorrente entre a União, os Estados e o Distrito Federal</w:t>
      </w:r>
      <w:r w:rsidR="0080468C">
        <w:t>.</w:t>
      </w:r>
    </w:p>
    <w:p w:rsidR="00EA2AED" w:rsidRDefault="00E03015" w:rsidP="00EA2AED">
      <w:pPr>
        <w:jc w:val="both"/>
      </w:pPr>
      <w:r>
        <w:t>B)</w:t>
      </w:r>
      <w:r w:rsidR="0080468C">
        <w:t xml:space="preserve"> </w:t>
      </w:r>
      <w:r w:rsidR="00EA2AED" w:rsidRPr="00EA2AED">
        <w:t>São princípios institucionais da Defensoria Pública a unidade, a indivisibilidade e a independência funcional</w:t>
      </w:r>
      <w:r w:rsidR="00EA2AED">
        <w:t>.</w:t>
      </w:r>
    </w:p>
    <w:p w:rsidR="00E03015" w:rsidRDefault="00E03015" w:rsidP="00EA2AED">
      <w:pPr>
        <w:jc w:val="both"/>
      </w:pPr>
      <w:r>
        <w:t>C)</w:t>
      </w:r>
      <w:r w:rsidR="0080468C">
        <w:t xml:space="preserve"> A Defensoria Pública é </w:t>
      </w:r>
      <w:r w:rsidR="00EA2AED">
        <w:t>instituição permanente</w:t>
      </w:r>
      <w:r w:rsidR="00EA2AED">
        <w:t xml:space="preserve">, </w:t>
      </w:r>
      <w:r w:rsidR="0080468C">
        <w:t xml:space="preserve">expressão </w:t>
      </w:r>
      <w:r w:rsidR="00EA2AED">
        <w:t xml:space="preserve">e instrumento do regime democrático, </w:t>
      </w:r>
      <w:r w:rsidR="00EA2AED">
        <w:t>conforme explícita previsão constitucional</w:t>
      </w:r>
      <w:r w:rsidR="00EA2AED">
        <w:t>.</w:t>
      </w:r>
    </w:p>
    <w:p w:rsidR="00E03015" w:rsidRDefault="00E03015" w:rsidP="00EA2AED">
      <w:pPr>
        <w:jc w:val="both"/>
      </w:pPr>
      <w:r>
        <w:t>D)</w:t>
      </w:r>
      <w:r w:rsidR="006C35CA">
        <w:t xml:space="preserve"> Topologicamente, a Defensoria Pública está inserida no capítulo das Funções Essenciais à Justiça.</w:t>
      </w:r>
    </w:p>
    <w:p w:rsidR="00E03015" w:rsidRDefault="00E03015" w:rsidP="00EA2AED">
      <w:pPr>
        <w:jc w:val="both"/>
      </w:pPr>
      <w:r>
        <w:t>E)</w:t>
      </w:r>
      <w:r w:rsidR="00AB0985">
        <w:t xml:space="preserve"> </w:t>
      </w:r>
      <w:r w:rsidR="00EA2AED">
        <w:t>É assegurada aos integrantes da Defensoria Pública a garantia da vitaliciedade</w:t>
      </w:r>
      <w:r w:rsidR="00AB0985">
        <w:t>.</w:t>
      </w:r>
    </w:p>
    <w:p w:rsidR="00967D1C" w:rsidRDefault="00967D1C"/>
    <w:p w:rsidR="00900B66" w:rsidRPr="00900B66" w:rsidRDefault="00900B66">
      <w:pPr>
        <w:rPr>
          <w:b/>
        </w:rPr>
      </w:pPr>
      <w:r w:rsidRPr="00900B66">
        <w:rPr>
          <w:b/>
        </w:rPr>
        <w:t>QUESTÃO 02</w:t>
      </w:r>
    </w:p>
    <w:p w:rsidR="00900B66" w:rsidRDefault="00154815" w:rsidP="00E20211">
      <w:pPr>
        <w:jc w:val="both"/>
      </w:pPr>
      <w:r>
        <w:t xml:space="preserve">Sobre </w:t>
      </w:r>
      <w:r w:rsidR="00B12978">
        <w:t>assistência jurídica e acesso à Justiça na normativa internacional, assinale a alternativa correta</w:t>
      </w:r>
      <w:r>
        <w:t>.</w:t>
      </w:r>
    </w:p>
    <w:p w:rsidR="00E03015" w:rsidRDefault="00E03015" w:rsidP="00EF2BBF">
      <w:pPr>
        <w:jc w:val="both"/>
      </w:pPr>
      <w:r>
        <w:t>A)</w:t>
      </w:r>
      <w:r w:rsidR="00EF2BBF">
        <w:t xml:space="preserve"> A </w:t>
      </w:r>
      <w:r w:rsidR="00A80DC9">
        <w:t>Declaração Universal dos Direitos Humanos afirma expressamente que t</w:t>
      </w:r>
      <w:r w:rsidR="00A80DC9" w:rsidRPr="00A80DC9">
        <w:t>odo ser humano acusado de um ato delituoso tem o direito de ser presumido inocente até que a sua culpabilidade tenha sido provada de acordo com a lei, em julgamento público no qual lhe tenham sido asseguradas todas as garantias necessárias à sua defesa.</w:t>
      </w:r>
    </w:p>
    <w:p w:rsidR="00E03015" w:rsidRDefault="00E03015" w:rsidP="00CD7411">
      <w:pPr>
        <w:jc w:val="both"/>
      </w:pPr>
      <w:r>
        <w:t>B)</w:t>
      </w:r>
      <w:r w:rsidR="00EF2BBF">
        <w:t xml:space="preserve"> </w:t>
      </w:r>
      <w:r w:rsidR="00B12978">
        <w:t xml:space="preserve">De acordo com o Pacto Internacional de Direitos Civis e Políticos, toda pessoa acusada de um delito terá direito a determinadas garantias mínimas, como dispor </w:t>
      </w:r>
      <w:r w:rsidR="00B12978" w:rsidRPr="00B12978">
        <w:t>do tempo e dos meios necessários à preparação de sua defesa</w:t>
      </w:r>
      <w:r w:rsidR="00B12978">
        <w:t>. No entanto, não há previsão expressa da garantia de</w:t>
      </w:r>
      <w:r w:rsidR="00B12978" w:rsidRPr="00B12978">
        <w:t xml:space="preserve"> comunicar-se com defensor de sua escolha</w:t>
      </w:r>
      <w:r w:rsidR="00B12978">
        <w:t>.</w:t>
      </w:r>
    </w:p>
    <w:p w:rsidR="00E03015" w:rsidRDefault="00E03015" w:rsidP="00CD7411">
      <w:pPr>
        <w:jc w:val="both"/>
      </w:pPr>
      <w:r>
        <w:t>C)</w:t>
      </w:r>
      <w:r w:rsidR="00CD7411">
        <w:t xml:space="preserve"> A </w:t>
      </w:r>
      <w:r w:rsidR="00B12978">
        <w:t xml:space="preserve">Convenção Americana de Direitos Humanos não prevê o </w:t>
      </w:r>
      <w:r w:rsidR="00B12978" w:rsidRPr="00B12978">
        <w:t>direito do acus</w:t>
      </w:r>
      <w:r w:rsidR="00B12978">
        <w:t>ado de defender-se pessoalmente</w:t>
      </w:r>
      <w:r w:rsidR="00191041">
        <w:t xml:space="preserve">, dispondo também que o acusado pode renunciar ao direito de </w:t>
      </w:r>
      <w:r w:rsidR="00191041" w:rsidRPr="00191041">
        <w:t>ser assistido por um defensor proporcionado pelo Estado</w:t>
      </w:r>
      <w:r w:rsidR="00191041">
        <w:t>.</w:t>
      </w:r>
    </w:p>
    <w:p w:rsidR="00E03015" w:rsidRDefault="00E03015" w:rsidP="007A0877">
      <w:pPr>
        <w:jc w:val="both"/>
      </w:pPr>
      <w:r>
        <w:t>D)</w:t>
      </w:r>
      <w:r w:rsidR="007A0877">
        <w:t xml:space="preserve"> A OEA </w:t>
      </w:r>
      <w:r w:rsidR="00C62948">
        <w:t>não apresenta</w:t>
      </w:r>
      <w:r w:rsidR="007A0877">
        <w:t xml:space="preserve"> posicionamento coerente e consistente acerca das Defensorias Públicas, de modo que inexiste uma recomendação clara aos Estados membros quanto ao tema.</w:t>
      </w:r>
    </w:p>
    <w:p w:rsidR="00E03015" w:rsidRDefault="00E03015" w:rsidP="007A0877">
      <w:pPr>
        <w:jc w:val="both"/>
      </w:pPr>
      <w:r>
        <w:t>E)</w:t>
      </w:r>
      <w:r w:rsidR="007A0877">
        <w:t xml:space="preserve"> </w:t>
      </w:r>
      <w:r w:rsidR="00191041">
        <w:t xml:space="preserve">O Pacto Internacional de Direitos Civis e Políticos não prevê ao acusado a garantia </w:t>
      </w:r>
      <w:r w:rsidR="00191041" w:rsidRPr="00191041">
        <w:t xml:space="preserve">de ter um defensor designado </w:t>
      </w:r>
      <w:proofErr w:type="spellStart"/>
      <w:r w:rsidR="00191041" w:rsidRPr="00191041">
        <w:rPr>
          <w:i/>
        </w:rPr>
        <w:t>ex-offício</w:t>
      </w:r>
      <w:proofErr w:type="spellEnd"/>
      <w:r w:rsidR="00191041" w:rsidRPr="00191041">
        <w:t xml:space="preserve"> gratuitamente, se não tiver meios para remunerá-lo</w:t>
      </w:r>
      <w:r w:rsidR="00191041">
        <w:t xml:space="preserve">. </w:t>
      </w:r>
    </w:p>
    <w:p w:rsidR="00E03015" w:rsidRDefault="00E03015"/>
    <w:p w:rsidR="00900B66" w:rsidRPr="00900B66" w:rsidRDefault="00900B66">
      <w:pPr>
        <w:rPr>
          <w:b/>
        </w:rPr>
      </w:pPr>
      <w:r w:rsidRPr="00900B66">
        <w:rPr>
          <w:b/>
        </w:rPr>
        <w:t>QUESTÃO 03</w:t>
      </w:r>
    </w:p>
    <w:p w:rsidR="00900B66" w:rsidRDefault="00191041" w:rsidP="00066ABF">
      <w:pPr>
        <w:jc w:val="both"/>
      </w:pPr>
      <w:r>
        <w:t xml:space="preserve">Sobre o </w:t>
      </w:r>
      <w:r w:rsidRPr="00191041">
        <w:t>acesso à justiça</w:t>
      </w:r>
      <w:r>
        <w:t xml:space="preserve"> e os modelos de assistência jurídica, assinale a alternativa </w:t>
      </w:r>
      <w:r w:rsidRPr="00F162A1">
        <w:rPr>
          <w:b/>
        </w:rPr>
        <w:t>incorreta</w:t>
      </w:r>
      <w:r w:rsidR="00066ABF">
        <w:t>.</w:t>
      </w:r>
    </w:p>
    <w:p w:rsidR="00E03015" w:rsidRDefault="00E03015" w:rsidP="00E95203">
      <w:pPr>
        <w:jc w:val="both"/>
      </w:pPr>
      <w:r>
        <w:t>A)</w:t>
      </w:r>
      <w:r w:rsidR="00E95203">
        <w:t xml:space="preserve"> </w:t>
      </w:r>
      <w:r w:rsidR="004B6A1F">
        <w:t>As reformas oriundas de um enfoque de acesso à Justiça não estão isentas de limitações e riscos, de modo que – de certa forma – sua adoção deve estar atenta ao sistema jurídico, político e social em que</w:t>
      </w:r>
      <w:r w:rsidR="002E71BC">
        <w:t xml:space="preserve"> estarão</w:t>
      </w:r>
      <w:r w:rsidR="004B6A1F">
        <w:t xml:space="preserve"> inseridas</w:t>
      </w:r>
      <w:r w:rsidR="00E95203">
        <w:t>.</w:t>
      </w:r>
    </w:p>
    <w:p w:rsidR="00E03015" w:rsidRDefault="00E03015" w:rsidP="00E95203">
      <w:pPr>
        <w:jc w:val="both"/>
      </w:pPr>
      <w:r>
        <w:t>B)</w:t>
      </w:r>
      <w:r w:rsidR="00E95203">
        <w:t xml:space="preserve"> O </w:t>
      </w:r>
      <w:r w:rsidR="004B6A1F">
        <w:t>acesso à Justiça pode ser concebido como duplo programa de reformas e também como método de pensamento</w:t>
      </w:r>
      <w:r w:rsidR="00E95203">
        <w:t>.</w:t>
      </w:r>
    </w:p>
    <w:p w:rsidR="00E03015" w:rsidRDefault="00E03015" w:rsidP="00E95203">
      <w:pPr>
        <w:jc w:val="both"/>
      </w:pPr>
      <w:r>
        <w:t>C)</w:t>
      </w:r>
      <w:r w:rsidR="00E95203">
        <w:t xml:space="preserve"> </w:t>
      </w:r>
      <w:r w:rsidR="00191041">
        <w:t>A terceira onda renovatória do acesso à Justiça significou a representação dos interesses difusos</w:t>
      </w:r>
      <w:r w:rsidR="00493B6B">
        <w:t>.</w:t>
      </w:r>
    </w:p>
    <w:p w:rsidR="00E03015" w:rsidRDefault="00E03015" w:rsidP="00C45FA3">
      <w:pPr>
        <w:jc w:val="both"/>
      </w:pPr>
      <w:r>
        <w:t>D)</w:t>
      </w:r>
      <w:r w:rsidR="00E95203">
        <w:t xml:space="preserve"> </w:t>
      </w:r>
      <w:r w:rsidR="00191041">
        <w:t>O modelo de assistência jurídica previsto constitucionalmente no Brasil é o público, a ser garantido por meio dos serviços da Defensoria Pública</w:t>
      </w:r>
      <w:r w:rsidR="00C45FA3">
        <w:t>.</w:t>
      </w:r>
    </w:p>
    <w:p w:rsidR="00E03015" w:rsidRDefault="00E03015" w:rsidP="00C45FA3">
      <w:pPr>
        <w:jc w:val="both"/>
      </w:pPr>
      <w:r>
        <w:t>E)</w:t>
      </w:r>
      <w:r w:rsidR="00E95203">
        <w:t xml:space="preserve"> </w:t>
      </w:r>
      <w:r w:rsidR="004B6A1F">
        <w:t>Os obstáculos para o pleno acesso à Justiça não se reduzem apenas ao fator econômico</w:t>
      </w:r>
      <w:r w:rsidR="00C45FA3" w:rsidRPr="00C45FA3">
        <w:t>.</w:t>
      </w:r>
    </w:p>
    <w:p w:rsidR="00E03015" w:rsidRDefault="00E03015"/>
    <w:p w:rsidR="00900B66" w:rsidRPr="00900B66" w:rsidRDefault="00900B66">
      <w:pPr>
        <w:rPr>
          <w:b/>
        </w:rPr>
      </w:pPr>
      <w:r w:rsidRPr="00900B66">
        <w:rPr>
          <w:b/>
        </w:rPr>
        <w:t>QUESTÃO 04</w:t>
      </w:r>
    </w:p>
    <w:p w:rsidR="00900B66" w:rsidRDefault="006975C8" w:rsidP="007D1756">
      <w:pPr>
        <w:tabs>
          <w:tab w:val="left" w:pos="2325"/>
        </w:tabs>
        <w:jc w:val="both"/>
      </w:pPr>
      <w:r w:rsidRPr="006975C8">
        <w:t>São</w:t>
      </w:r>
      <w:r w:rsidR="007D1756">
        <w:t xml:space="preserve"> </w:t>
      </w:r>
      <w:r w:rsidR="00166722">
        <w:t>direitos dos assistidos</w:t>
      </w:r>
      <w:r w:rsidR="007D1756">
        <w:t xml:space="preserve"> da Defensoria Pública previstos expressamente na Lei </w:t>
      </w:r>
      <w:r w:rsidR="007D1756" w:rsidRPr="007D1756">
        <w:t>Orgânica Nacional (Lei Complementar nº 80/94</w:t>
      </w:r>
      <w:r w:rsidR="007D1756">
        <w:t>)</w:t>
      </w:r>
      <w:r>
        <w:t xml:space="preserve">, </w:t>
      </w:r>
      <w:r w:rsidRPr="006975C8">
        <w:rPr>
          <w:b/>
        </w:rPr>
        <w:t>exceto</w:t>
      </w:r>
      <w:r w:rsidR="007D1756">
        <w:t>:</w:t>
      </w:r>
    </w:p>
    <w:p w:rsidR="00E03015" w:rsidRDefault="00E03015" w:rsidP="00436684">
      <w:pPr>
        <w:jc w:val="both"/>
      </w:pPr>
      <w:r>
        <w:t>A)</w:t>
      </w:r>
      <w:r w:rsidR="007D1756">
        <w:t xml:space="preserve"> </w:t>
      </w:r>
      <w:r w:rsidR="00166722" w:rsidRPr="00166722">
        <w:t>a atuação de Defensores Públicos distintos, quando verificada a existência de interesses antagônicos ou colidentes entre destinatários de suas funções</w:t>
      </w:r>
      <w:r w:rsidR="007D1756">
        <w:t>;</w:t>
      </w:r>
    </w:p>
    <w:p w:rsidR="00E03015" w:rsidRDefault="00E03015" w:rsidP="00436684">
      <w:pPr>
        <w:jc w:val="both"/>
      </w:pPr>
      <w:r>
        <w:t>B)</w:t>
      </w:r>
      <w:r w:rsidR="007D1756">
        <w:t xml:space="preserve"> </w:t>
      </w:r>
      <w:r w:rsidR="00166722" w:rsidRPr="00166722">
        <w:t>o patrocínio de seus direitos e interesses pelo defensor natural</w:t>
      </w:r>
      <w:r w:rsidR="006975C8">
        <w:t>;</w:t>
      </w:r>
    </w:p>
    <w:p w:rsidR="00E03015" w:rsidRDefault="00E03015" w:rsidP="00436684">
      <w:pPr>
        <w:jc w:val="both"/>
      </w:pPr>
      <w:r>
        <w:t>C)</w:t>
      </w:r>
      <w:r w:rsidR="006975C8">
        <w:t xml:space="preserve"> </w:t>
      </w:r>
      <w:r w:rsidR="00166722" w:rsidRPr="00166722">
        <w:t>o direito de ter sua pretensão revista no caso de recusa de atuação pelo Defensor Público</w:t>
      </w:r>
      <w:r w:rsidR="006975C8">
        <w:t>;</w:t>
      </w:r>
    </w:p>
    <w:p w:rsidR="00E03015" w:rsidRDefault="00E03015" w:rsidP="00436684">
      <w:pPr>
        <w:jc w:val="both"/>
      </w:pPr>
      <w:r>
        <w:t>D)</w:t>
      </w:r>
      <w:r w:rsidR="006975C8">
        <w:t xml:space="preserve"> </w:t>
      </w:r>
      <w:r w:rsidR="00166722">
        <w:t>o atendimento por senha em ordem de chegada, observadas as prioridades legais</w:t>
      </w:r>
      <w:r w:rsidR="006975C8">
        <w:t>;</w:t>
      </w:r>
    </w:p>
    <w:p w:rsidR="00E03015" w:rsidRDefault="00E03015" w:rsidP="00436684">
      <w:pPr>
        <w:jc w:val="both"/>
      </w:pPr>
      <w:r>
        <w:t>E)</w:t>
      </w:r>
      <w:r w:rsidR="006975C8">
        <w:t xml:space="preserve"> </w:t>
      </w:r>
      <w:r w:rsidR="00166722" w:rsidRPr="00166722">
        <w:t>a qualidade e a eficiência do atendimento</w:t>
      </w:r>
      <w:r w:rsidR="006975C8">
        <w:t>.</w:t>
      </w:r>
    </w:p>
    <w:p w:rsidR="00E03015" w:rsidRDefault="00E03015"/>
    <w:p w:rsidR="00900B66" w:rsidRPr="00900B66" w:rsidRDefault="00900B66">
      <w:pPr>
        <w:rPr>
          <w:b/>
        </w:rPr>
      </w:pPr>
      <w:r w:rsidRPr="00900B66">
        <w:rPr>
          <w:b/>
        </w:rPr>
        <w:t>QUESTÃO 05</w:t>
      </w:r>
    </w:p>
    <w:p w:rsidR="00900B66" w:rsidRDefault="001A52F3" w:rsidP="001A52F3">
      <w:pPr>
        <w:jc w:val="both"/>
      </w:pPr>
      <w:r>
        <w:t>De acordo com a</w:t>
      </w:r>
      <w:r w:rsidR="00CD5867">
        <w:t>s previsões expressas da</w:t>
      </w:r>
      <w:r>
        <w:t xml:space="preserve"> </w:t>
      </w:r>
      <w:r w:rsidRPr="001A52F3">
        <w:t xml:space="preserve">Lei </w:t>
      </w:r>
      <w:r w:rsidR="001065D4">
        <w:t>Complementar Estadual nº 130/2017</w:t>
      </w:r>
      <w:r>
        <w:t>, assinale a alternativa correta.</w:t>
      </w:r>
    </w:p>
    <w:p w:rsidR="00E03015" w:rsidRDefault="00E03015" w:rsidP="00E03015">
      <w:r>
        <w:t>A)</w:t>
      </w:r>
      <w:r w:rsidR="001A52F3">
        <w:t xml:space="preserve"> </w:t>
      </w:r>
      <w:r w:rsidR="007D637C" w:rsidRPr="007D637C">
        <w:t xml:space="preserve">O ingresso na Carreira será sempre na </w:t>
      </w:r>
      <w:r w:rsidR="007D637C">
        <w:t>Quarta</w:t>
      </w:r>
      <w:r w:rsidR="007D637C" w:rsidRPr="007D637C">
        <w:t xml:space="preserve"> Categoria (inicial) e de acordo com as demais exigências previstas </w:t>
      </w:r>
      <w:r w:rsidR="007D637C">
        <w:t>na referida</w:t>
      </w:r>
      <w:r w:rsidR="007D637C" w:rsidRPr="007D637C">
        <w:t xml:space="preserve"> Lei Complementar</w:t>
      </w:r>
      <w:r w:rsidR="001A52F3">
        <w:t>.</w:t>
      </w:r>
    </w:p>
    <w:p w:rsidR="00E03015" w:rsidRDefault="00E03015" w:rsidP="001A52F3">
      <w:pPr>
        <w:jc w:val="both"/>
      </w:pPr>
      <w:r>
        <w:t>B)</w:t>
      </w:r>
      <w:r w:rsidR="001A52F3">
        <w:t xml:space="preserve"> </w:t>
      </w:r>
      <w:r w:rsidR="000869C4" w:rsidRPr="000869C4">
        <w:t>A capacidade postulatória do Defensor Público do Estado decorre exclusivamente de sua nomeação e posse no cargo público</w:t>
      </w:r>
      <w:r w:rsidR="001A52F3">
        <w:t>.</w:t>
      </w:r>
    </w:p>
    <w:p w:rsidR="00E03015" w:rsidRDefault="00E03015" w:rsidP="00CD5867">
      <w:pPr>
        <w:jc w:val="both"/>
      </w:pPr>
      <w:r>
        <w:lastRenderedPageBreak/>
        <w:t>C)</w:t>
      </w:r>
      <w:r w:rsidR="00B23D72">
        <w:t xml:space="preserve"> </w:t>
      </w:r>
      <w:r w:rsidR="00CD5867">
        <w:t>A</w:t>
      </w:r>
      <w:r w:rsidR="00CD5867" w:rsidRPr="00CD5867">
        <w:t xml:space="preserve"> Ouvidoria-Geral da Defensoria Pública do Estado</w:t>
      </w:r>
      <w:r w:rsidR="00CD5867">
        <w:t xml:space="preserve"> e os </w:t>
      </w:r>
      <w:r w:rsidR="00CD5867" w:rsidRPr="00CD5867">
        <w:t>Centros de Atendimento Multidisciplinar da Capital e do Interior</w:t>
      </w:r>
      <w:r w:rsidR="00CD5867">
        <w:t xml:space="preserve"> são órgãos de apoio</w:t>
      </w:r>
      <w:r w:rsidR="00B23D72">
        <w:t>.</w:t>
      </w:r>
    </w:p>
    <w:p w:rsidR="00E03015" w:rsidRDefault="00E03015" w:rsidP="00F40D73">
      <w:pPr>
        <w:jc w:val="both"/>
      </w:pPr>
      <w:r>
        <w:t>D)</w:t>
      </w:r>
      <w:r w:rsidR="00B23D72">
        <w:t xml:space="preserve"> </w:t>
      </w:r>
      <w:r w:rsidR="00CD5867">
        <w:t>O</w:t>
      </w:r>
      <w:r w:rsidR="00CD5867" w:rsidRPr="00CD5867">
        <w:t xml:space="preserve"> D</w:t>
      </w:r>
      <w:r w:rsidR="00CD5867">
        <w:t>efensor Público-Geral do Estado será</w:t>
      </w:r>
      <w:r w:rsidR="00CD5867" w:rsidRPr="00CD5867">
        <w:t xml:space="preserve"> nomeado pelo Governador do Estado, dentre membros estáveis da Carreira e maiores de 35 (trinta e cinco) anos, escolhidos em lista </w:t>
      </w:r>
      <w:r w:rsidR="00CD5867">
        <w:t xml:space="preserve">sêxtupla </w:t>
      </w:r>
      <w:r w:rsidR="00CD5867" w:rsidRPr="00CD5867">
        <w:t xml:space="preserve">formada pelo voto direto, secreto, plurinominal e </w:t>
      </w:r>
      <w:r w:rsidR="00CD5867">
        <w:t>facultativo</w:t>
      </w:r>
      <w:r w:rsidR="00CD5867" w:rsidRPr="00CD5867">
        <w:t xml:space="preserve"> de seus membros, para mandat</w:t>
      </w:r>
      <w:r w:rsidR="00CD5867">
        <w:t xml:space="preserve">o de </w:t>
      </w:r>
      <w:proofErr w:type="gramStart"/>
      <w:r w:rsidR="00CD5867">
        <w:t>2</w:t>
      </w:r>
      <w:proofErr w:type="gramEnd"/>
      <w:r w:rsidR="00CD5867">
        <w:t xml:space="preserve"> (dois) anos, permitida </w:t>
      </w:r>
      <w:r w:rsidR="00CD5867" w:rsidRPr="00CD5867">
        <w:t>a recondução</w:t>
      </w:r>
      <w:r w:rsidR="00F40D73">
        <w:t>.</w:t>
      </w:r>
    </w:p>
    <w:p w:rsidR="00E03015" w:rsidRDefault="00E03015" w:rsidP="00B23D72">
      <w:pPr>
        <w:jc w:val="both"/>
      </w:pPr>
      <w:r>
        <w:t>E)</w:t>
      </w:r>
      <w:r w:rsidR="00B23D72">
        <w:t xml:space="preserve"> </w:t>
      </w:r>
      <w:r w:rsidR="00EA2FD7" w:rsidRPr="00EA2FD7">
        <w:t>Incumbe ao Segundo Subdefensor Público-Geral do Estado, dentre outras atribuições</w:t>
      </w:r>
      <w:r w:rsidR="00EA2FD7">
        <w:t xml:space="preserve">, </w:t>
      </w:r>
      <w:r w:rsidR="00EA2FD7" w:rsidRPr="00EA2FD7">
        <w:t>supervisionar os trabalhos dos Núcleos de Defensorias Especializadas e dos Núcleos Especializados da Defensoria Pública do Estado</w:t>
      </w:r>
      <w:r w:rsidR="00B23D72">
        <w:t>.</w:t>
      </w:r>
    </w:p>
    <w:p w:rsidR="00E03015" w:rsidRDefault="00E03015"/>
    <w:p w:rsidR="00900B66" w:rsidRPr="00900B66" w:rsidRDefault="00900B66">
      <w:pPr>
        <w:rPr>
          <w:b/>
        </w:rPr>
      </w:pPr>
      <w:r w:rsidRPr="00900B66">
        <w:rPr>
          <w:b/>
        </w:rPr>
        <w:t>QUESTÃO 06</w:t>
      </w:r>
    </w:p>
    <w:p w:rsidR="00900B66" w:rsidRDefault="00F54ADD" w:rsidP="006B4570">
      <w:pPr>
        <w:jc w:val="both"/>
      </w:pPr>
      <w:r>
        <w:t>Conforme as previsões expressas da</w:t>
      </w:r>
      <w:r w:rsidR="006B4570" w:rsidRPr="006B4570">
        <w:t xml:space="preserve"> Lei </w:t>
      </w:r>
      <w:r w:rsidR="00335CDE" w:rsidRPr="00335CDE">
        <w:t>Complementar Estadual nº 130/2017</w:t>
      </w:r>
      <w:r>
        <w:t xml:space="preserve"> acerca da </w:t>
      </w:r>
      <w:r w:rsidRPr="00F54ADD">
        <w:t>Ouvidoria-Geral da Defensoria Pública do Estado</w:t>
      </w:r>
      <w:r>
        <w:t>, assinale a alternativa correta.</w:t>
      </w:r>
    </w:p>
    <w:p w:rsidR="00E03015" w:rsidRDefault="00E03015" w:rsidP="00F54ADD">
      <w:pPr>
        <w:jc w:val="both"/>
      </w:pPr>
      <w:r>
        <w:t>A)</w:t>
      </w:r>
      <w:r w:rsidR="006B4570">
        <w:t xml:space="preserve"> </w:t>
      </w:r>
      <w:r w:rsidR="00F54ADD" w:rsidRPr="00F54ADD">
        <w:t xml:space="preserve">O Ouvidor-Geral poderá ser destituído do cargo por ato do Defensor Público-Geral </w:t>
      </w:r>
      <w:r w:rsidR="00F54ADD">
        <w:t>do Estado, mediante decisão de 3/5</w:t>
      </w:r>
      <w:r w:rsidR="00F54ADD" w:rsidRPr="00F54ADD">
        <w:t xml:space="preserve"> (</w:t>
      </w:r>
      <w:r w:rsidR="00F54ADD">
        <w:t>três quintos</w:t>
      </w:r>
      <w:r w:rsidR="00F54ADD" w:rsidRPr="00F54ADD">
        <w:t>) dos membros do Conselho Superior da Defensoria Pública do Estado</w:t>
      </w:r>
      <w:r w:rsidR="006B4570">
        <w:t>;</w:t>
      </w:r>
    </w:p>
    <w:p w:rsidR="00E03015" w:rsidRDefault="00E03015" w:rsidP="00BC25D2">
      <w:pPr>
        <w:jc w:val="both"/>
      </w:pPr>
      <w:r>
        <w:t>B)</w:t>
      </w:r>
      <w:r w:rsidR="006B4570">
        <w:t xml:space="preserve"> </w:t>
      </w:r>
      <w:r w:rsidR="00BC25D2" w:rsidRPr="00BC25D2">
        <w:t>O Ouvidor-Geral da Defensoria Pública do Estado será escolhido pelo Conselho Superior da Defensoria Pública do Estado, dentre cidadãos de reputação ilibada, não integrante</w:t>
      </w:r>
      <w:r w:rsidR="00C02321">
        <w:t>s</w:t>
      </w:r>
      <w:r w:rsidR="00BC25D2" w:rsidRPr="00BC25D2">
        <w:t xml:space="preserve"> da Carreira de Defensor Público do Estado, indicados em lista tríplice, formada por integrantes da sociedade civil, para mandato de </w:t>
      </w:r>
      <w:proofErr w:type="gramStart"/>
      <w:r w:rsidR="00BC25D2" w:rsidRPr="00BC25D2">
        <w:t>2</w:t>
      </w:r>
      <w:proofErr w:type="gramEnd"/>
      <w:r w:rsidR="00BC25D2" w:rsidRPr="00BC25D2">
        <w:t xml:space="preserve"> (dois) anos, permitida 1 (uma) recondução</w:t>
      </w:r>
      <w:r w:rsidR="006B4570">
        <w:t>;</w:t>
      </w:r>
    </w:p>
    <w:p w:rsidR="00E03015" w:rsidRDefault="00E03015" w:rsidP="00AD5124">
      <w:pPr>
        <w:jc w:val="both"/>
      </w:pPr>
      <w:r>
        <w:t>C)</w:t>
      </w:r>
      <w:r w:rsidR="006B4570">
        <w:t xml:space="preserve"> </w:t>
      </w:r>
      <w:r w:rsidR="00AD5124" w:rsidRPr="00AD5124">
        <w:t>À Ouvidoria-Geral da Defensoria Pública do Estado compete</w:t>
      </w:r>
      <w:r w:rsidR="00AD5124">
        <w:t xml:space="preserve"> participar, com direito à voz e voto</w:t>
      </w:r>
      <w:r w:rsidR="00AD5124" w:rsidRPr="00AD5124">
        <w:t>, do Conselho Superior da Defensoria Pública do Estado</w:t>
      </w:r>
      <w:r w:rsidR="006B4570">
        <w:t>;</w:t>
      </w:r>
    </w:p>
    <w:p w:rsidR="00E03015" w:rsidRDefault="00E03015" w:rsidP="001753FE">
      <w:pPr>
        <w:jc w:val="both"/>
      </w:pPr>
      <w:r>
        <w:t>D)</w:t>
      </w:r>
      <w:r w:rsidR="006B4570">
        <w:t xml:space="preserve"> </w:t>
      </w:r>
      <w:r w:rsidR="001753FE" w:rsidRPr="001753FE">
        <w:t>À Ouvidoria-Geral da Defensoria Pública do Estado compete</w:t>
      </w:r>
      <w:r w:rsidR="001753FE">
        <w:t xml:space="preserve"> </w:t>
      </w:r>
      <w:r w:rsidR="001753FE" w:rsidRPr="001753FE">
        <w:t xml:space="preserve">elaborar e divulgar relatório </w:t>
      </w:r>
      <w:r w:rsidR="001753FE">
        <w:t>anual</w:t>
      </w:r>
      <w:r w:rsidR="001753FE" w:rsidRPr="001753FE">
        <w:t xml:space="preserve"> de suas atividades que conterá também as medidas propostas aos órgãos competentes e a descrição dos resultados obtidos</w:t>
      </w:r>
      <w:r w:rsidR="006B4570">
        <w:t>;</w:t>
      </w:r>
    </w:p>
    <w:p w:rsidR="00E03015" w:rsidRDefault="00E03015" w:rsidP="001753FE">
      <w:pPr>
        <w:jc w:val="both"/>
      </w:pPr>
      <w:r>
        <w:t>E)</w:t>
      </w:r>
      <w:r w:rsidR="00133728">
        <w:t xml:space="preserve"> </w:t>
      </w:r>
      <w:r w:rsidR="001753FE" w:rsidRPr="001753FE">
        <w:t xml:space="preserve">À Ouvidoria-Geral da Defensoria Pública do Estado </w:t>
      </w:r>
      <w:r w:rsidR="001753FE">
        <w:t xml:space="preserve">não </w:t>
      </w:r>
      <w:r w:rsidR="001753FE" w:rsidRPr="001753FE">
        <w:t>compete</w:t>
      </w:r>
      <w:r w:rsidR="001753FE">
        <w:t xml:space="preserve"> </w:t>
      </w:r>
      <w:r w:rsidR="001753FE" w:rsidRPr="001753FE">
        <w:t>contribuir para a disseminação das formas de participação popular no acompanhamento e na fiscalização da prestação dos serviços realizados pela Defensoria Pública do Estado</w:t>
      </w:r>
      <w:r w:rsidR="00133728">
        <w:t>.</w:t>
      </w:r>
    </w:p>
    <w:p w:rsidR="008212D3" w:rsidRDefault="008212D3"/>
    <w:p w:rsidR="00900B66" w:rsidRPr="00900B66" w:rsidRDefault="00900B66">
      <w:pPr>
        <w:rPr>
          <w:b/>
        </w:rPr>
      </w:pPr>
      <w:r w:rsidRPr="00900B66">
        <w:rPr>
          <w:b/>
        </w:rPr>
        <w:t>QUESTÃO 07</w:t>
      </w:r>
    </w:p>
    <w:p w:rsidR="00900B66" w:rsidRDefault="00394900" w:rsidP="0041427A">
      <w:pPr>
        <w:jc w:val="both"/>
      </w:pPr>
      <w:r w:rsidRPr="00394900">
        <w:t xml:space="preserve">De acordo com a </w:t>
      </w:r>
      <w:r w:rsidR="007A7B24" w:rsidRPr="007A7B24">
        <w:t>Lei Complementar Estadual nº 130/2017</w:t>
      </w:r>
      <w:r w:rsidRPr="00394900">
        <w:t xml:space="preserve">, </w:t>
      </w:r>
      <w:r w:rsidR="0041427A">
        <w:t xml:space="preserve">julgue as afirmações a seguir (como verdadeiras – “V” – ou falsas – “F”) e </w:t>
      </w:r>
      <w:r w:rsidRPr="00394900">
        <w:t>assinal</w:t>
      </w:r>
      <w:r w:rsidR="007A7B24">
        <w:t>e a</w:t>
      </w:r>
      <w:r w:rsidRPr="00394900">
        <w:t xml:space="preserve"> </w:t>
      </w:r>
      <w:r w:rsidR="0041427A">
        <w:t>sequencia</w:t>
      </w:r>
      <w:r w:rsidRPr="00394900">
        <w:t xml:space="preserve"> correta.</w:t>
      </w:r>
    </w:p>
    <w:p w:rsidR="0041427A" w:rsidRDefault="0041427A" w:rsidP="0041427A">
      <w:pPr>
        <w:jc w:val="both"/>
      </w:pPr>
    </w:p>
    <w:p w:rsidR="00A73E46" w:rsidRDefault="0041427A" w:rsidP="00660E6C">
      <w:pPr>
        <w:jc w:val="both"/>
      </w:pPr>
      <w:r>
        <w:lastRenderedPageBreak/>
        <w:t>I –</w:t>
      </w:r>
      <w:r w:rsidR="00DC7C69">
        <w:t xml:space="preserve"> </w:t>
      </w:r>
      <w:r w:rsidR="00A73E46" w:rsidRPr="00A73E46">
        <w:t xml:space="preserve">O concurso público para ingresso na Carreira de Defensor Público do Estado de Goiás será realizado pela Defensoria Pública do Estado com validade de até </w:t>
      </w:r>
      <w:proofErr w:type="gramStart"/>
      <w:r w:rsidR="00A73E46" w:rsidRPr="00A73E46">
        <w:t>2</w:t>
      </w:r>
      <w:proofErr w:type="gramEnd"/>
      <w:r w:rsidR="00A73E46" w:rsidRPr="00A73E46">
        <w:t xml:space="preserve"> (dois) anos, prorrogável por igual período.</w:t>
      </w:r>
    </w:p>
    <w:p w:rsidR="0041427A" w:rsidRDefault="0041427A" w:rsidP="00660E6C">
      <w:pPr>
        <w:jc w:val="both"/>
      </w:pPr>
      <w:r>
        <w:t>II –</w:t>
      </w:r>
      <w:r w:rsidR="00DC7C69">
        <w:t xml:space="preserve"> </w:t>
      </w:r>
      <w:r w:rsidR="00373317" w:rsidRPr="00373317">
        <w:t>É obrigatória a abertura de concurso de ingresso quando o número de vagas atingir 1/3 (um terço) dos cargos iniciais da Carreira de Defensor Público do Estado e, facultativamente, quando o exigir o interesse público, observando o disposto na Lei de Responsabilidade Fiscal</w:t>
      </w:r>
      <w:r w:rsidR="00660E6C">
        <w:t>.</w:t>
      </w:r>
    </w:p>
    <w:p w:rsidR="0041427A" w:rsidRDefault="0041427A" w:rsidP="0041427A">
      <w:pPr>
        <w:jc w:val="both"/>
      </w:pPr>
      <w:r>
        <w:t>III –</w:t>
      </w:r>
      <w:r w:rsidR="00660E6C">
        <w:t xml:space="preserve"> </w:t>
      </w:r>
      <w:r w:rsidR="004A502B">
        <w:t>Um dos</w:t>
      </w:r>
      <w:r w:rsidR="001E78AE">
        <w:t xml:space="preserve"> </w:t>
      </w:r>
      <w:r w:rsidR="004A502B">
        <w:t>requisitos para a posse do nomeado é</w:t>
      </w:r>
      <w:r w:rsidR="004A502B" w:rsidRPr="004A502B">
        <w:t xml:space="preserve"> possuir </w:t>
      </w:r>
      <w:proofErr w:type="gramStart"/>
      <w:r w:rsidR="004A502B" w:rsidRPr="004A502B">
        <w:t>3</w:t>
      </w:r>
      <w:proofErr w:type="gramEnd"/>
      <w:r w:rsidR="004A502B" w:rsidRPr="004A502B">
        <w:t xml:space="preserve"> (três) anos de atividade jurídica, nos termos do disposto no artigo 134, § 4º e 93, inciso I da Constituição Federal, comprova</w:t>
      </w:r>
      <w:r w:rsidR="008E2F34">
        <w:t>da no momento da posse no cargo</w:t>
      </w:r>
      <w:r w:rsidR="001E78AE">
        <w:t>.</w:t>
      </w:r>
    </w:p>
    <w:p w:rsidR="0041427A" w:rsidRDefault="0041427A" w:rsidP="003E6427">
      <w:pPr>
        <w:jc w:val="both"/>
      </w:pPr>
      <w:r>
        <w:t>IV –</w:t>
      </w:r>
      <w:r w:rsidR="003E6427">
        <w:t xml:space="preserve"> </w:t>
      </w:r>
      <w:r w:rsidR="008E2F34">
        <w:t>O estágio probatório compreende os três primeiros anos de exercício e os requisitos necessários à confirmação na carreira são: idoneidade moral; assiduidade e pontualidade; disciplina e aptidão; eficiência; e zelo funcional</w:t>
      </w:r>
      <w:r w:rsidR="004D1D03">
        <w:t>.</w:t>
      </w:r>
    </w:p>
    <w:p w:rsidR="0041427A" w:rsidRDefault="0041427A" w:rsidP="0041427A">
      <w:pPr>
        <w:jc w:val="both"/>
      </w:pPr>
    </w:p>
    <w:p w:rsidR="00E03015" w:rsidRDefault="00E03015" w:rsidP="00E03015">
      <w:r>
        <w:t>A)</w:t>
      </w:r>
      <w:r w:rsidR="0041427A">
        <w:t xml:space="preserve"> F, V, V, V</w:t>
      </w:r>
    </w:p>
    <w:p w:rsidR="00E03015" w:rsidRDefault="00E03015" w:rsidP="00E03015">
      <w:r>
        <w:t>B)</w:t>
      </w:r>
      <w:r w:rsidR="0041427A">
        <w:t xml:space="preserve"> V, F, V, F</w:t>
      </w:r>
    </w:p>
    <w:p w:rsidR="00E03015" w:rsidRDefault="00E03015" w:rsidP="00E03015">
      <w:r>
        <w:t>C)</w:t>
      </w:r>
      <w:r w:rsidR="0041427A">
        <w:t xml:space="preserve"> V, V, V, V</w:t>
      </w:r>
    </w:p>
    <w:p w:rsidR="00E03015" w:rsidRDefault="00E03015" w:rsidP="00E03015">
      <w:r>
        <w:t>D)</w:t>
      </w:r>
      <w:r w:rsidR="0041427A">
        <w:t xml:space="preserve"> F, V, V, F</w:t>
      </w:r>
    </w:p>
    <w:p w:rsidR="00E03015" w:rsidRDefault="00E03015" w:rsidP="00E03015">
      <w:r>
        <w:t>E)</w:t>
      </w:r>
      <w:r w:rsidR="0041427A">
        <w:t xml:space="preserve"> V, V, F, V</w:t>
      </w:r>
    </w:p>
    <w:p w:rsidR="00E03015" w:rsidRDefault="00E03015"/>
    <w:p w:rsidR="00900B66" w:rsidRPr="00900B66" w:rsidRDefault="00900B66">
      <w:pPr>
        <w:rPr>
          <w:b/>
        </w:rPr>
      </w:pPr>
      <w:r w:rsidRPr="00900B66">
        <w:rPr>
          <w:b/>
        </w:rPr>
        <w:t>QUESTÃO 08</w:t>
      </w:r>
    </w:p>
    <w:p w:rsidR="00900B66" w:rsidRDefault="00DC5987" w:rsidP="00F770F8">
      <w:pPr>
        <w:jc w:val="both"/>
      </w:pPr>
      <w:r>
        <w:t xml:space="preserve">De acordo com </w:t>
      </w:r>
      <w:r w:rsidR="00F770F8">
        <w:t xml:space="preserve">a </w:t>
      </w:r>
      <w:r w:rsidR="00920091" w:rsidRPr="00920091">
        <w:t>Lei Complementar Estadual nº 130/2017</w:t>
      </w:r>
      <w:r w:rsidR="00F770F8">
        <w:t xml:space="preserve">, é </w:t>
      </w:r>
      <w:r w:rsidR="00920091" w:rsidRPr="00920091">
        <w:rPr>
          <w:b/>
        </w:rPr>
        <w:t>in</w:t>
      </w:r>
      <w:r w:rsidR="00F770F8" w:rsidRPr="00920091">
        <w:rPr>
          <w:b/>
        </w:rPr>
        <w:t>correto</w:t>
      </w:r>
      <w:r w:rsidR="00F770F8">
        <w:t xml:space="preserve"> afirmar que:</w:t>
      </w:r>
    </w:p>
    <w:p w:rsidR="00E03015" w:rsidRDefault="00E03015" w:rsidP="00F770F8">
      <w:pPr>
        <w:jc w:val="both"/>
      </w:pPr>
      <w:r>
        <w:t>A)</w:t>
      </w:r>
      <w:r w:rsidR="00F770F8">
        <w:t xml:space="preserve"> </w:t>
      </w:r>
      <w:r w:rsidR="00E13352">
        <w:t>Aos membros da Defensoria Pública do Estado é vedado</w:t>
      </w:r>
      <w:r w:rsidR="00E13352" w:rsidRPr="00E13352">
        <w:t xml:space="preserve"> exercer a atividade empresarial ou participar</w:t>
      </w:r>
      <w:r w:rsidR="00E13352">
        <w:t xml:space="preserve"> de sociedade empresária, inclusive</w:t>
      </w:r>
      <w:r w:rsidR="00E13352" w:rsidRPr="00E13352">
        <w:t xml:space="preserve"> na qualidade de cotista ou acionista</w:t>
      </w:r>
      <w:r w:rsidR="00F770F8">
        <w:t>.</w:t>
      </w:r>
    </w:p>
    <w:p w:rsidR="00E03015" w:rsidRDefault="00E03015" w:rsidP="00F770F8">
      <w:pPr>
        <w:jc w:val="both"/>
      </w:pPr>
      <w:r>
        <w:t>B)</w:t>
      </w:r>
      <w:r w:rsidR="00F770F8">
        <w:t xml:space="preserve"> </w:t>
      </w:r>
      <w:r w:rsidR="00E377A0">
        <w:t xml:space="preserve">É prerrogativa do membro </w:t>
      </w:r>
      <w:r w:rsidR="00E377A0" w:rsidRPr="00E377A0">
        <w:t>da Defensoria Pública do Estado deixar de patrocinar ação, quando ela for manifestamente incabível ou inconveniente aos interesses da parte sob seu patrocínio, comunicando o fato ao Defensor Público-Geral do Estad</w:t>
      </w:r>
      <w:r w:rsidR="00E377A0">
        <w:t>o, com as razões de seu proceder</w:t>
      </w:r>
      <w:r w:rsidR="005C2B4F">
        <w:t>.</w:t>
      </w:r>
    </w:p>
    <w:p w:rsidR="00EC735A" w:rsidRDefault="00E03015" w:rsidP="00C7302C">
      <w:pPr>
        <w:jc w:val="both"/>
      </w:pPr>
      <w:r>
        <w:t>C)</w:t>
      </w:r>
      <w:r w:rsidR="005C2B4F">
        <w:t xml:space="preserve"> </w:t>
      </w:r>
      <w:r w:rsidR="00B15C3C" w:rsidRPr="00B15C3C">
        <w:t>É defeso ao membro da Defensoria Pública do Estado exercer as suas funções em processo ou procedimento</w:t>
      </w:r>
      <w:r w:rsidR="00B15C3C">
        <w:t xml:space="preserve"> </w:t>
      </w:r>
      <w:r w:rsidR="00B15C3C" w:rsidRPr="00B15C3C">
        <w:t>em que for interessado cônjuge, parente consanguíneo ou afim, em linha reta, ou na colateral, até o 3º (terceiro) grau</w:t>
      </w:r>
      <w:r w:rsidR="005C2B4F">
        <w:t>;</w:t>
      </w:r>
    </w:p>
    <w:p w:rsidR="00E03015" w:rsidRDefault="00E03015" w:rsidP="00C7302C">
      <w:pPr>
        <w:jc w:val="both"/>
      </w:pPr>
      <w:r>
        <w:t>D)</w:t>
      </w:r>
      <w:r w:rsidR="005C2B4F">
        <w:t xml:space="preserve"> </w:t>
      </w:r>
      <w:r w:rsidR="00065082">
        <w:t>Os</w:t>
      </w:r>
      <w:r w:rsidR="00B85F4A">
        <w:t xml:space="preserve"> membros </w:t>
      </w:r>
      <w:r w:rsidR="00B85F4A" w:rsidRPr="00B85F4A">
        <w:t>da Defensoria Pública do Estado são passíveis das seguintes sanções disciplinares</w:t>
      </w:r>
      <w:r w:rsidR="00B85F4A">
        <w:t>: advertência; censura; remoção compulsória; suspensão por até 90 (noventa) dias; cassação de disponibilidade e de aposentadoria; e demissão.</w:t>
      </w:r>
    </w:p>
    <w:p w:rsidR="00E03015" w:rsidRDefault="00E03015" w:rsidP="005C2B4F">
      <w:pPr>
        <w:jc w:val="both"/>
      </w:pPr>
      <w:r>
        <w:lastRenderedPageBreak/>
        <w:t>E)</w:t>
      </w:r>
      <w:r w:rsidR="005C2B4F">
        <w:t xml:space="preserve"> </w:t>
      </w:r>
      <w:r w:rsidR="00065082">
        <w:t>O abandono do cargo, assim considerado o</w:t>
      </w:r>
      <w:r w:rsidR="00065082" w:rsidRPr="00065082">
        <w:t xml:space="preserve"> não-comparecimento do Defensor Público ao serviço por mais de 30 (trinta) dias</w:t>
      </w:r>
      <w:r w:rsidR="00065082">
        <w:t>, está sujeito à pena de demissão, tendo sua punibilidade extinta pela prescrição</w:t>
      </w:r>
      <w:r w:rsidR="00065082" w:rsidRPr="00065082">
        <w:t xml:space="preserve"> em 5 (cinco) anos</w:t>
      </w:r>
      <w:r w:rsidR="005C2B4F">
        <w:t>.</w:t>
      </w:r>
    </w:p>
    <w:p w:rsidR="00E03015" w:rsidRDefault="00E03015"/>
    <w:p w:rsidR="00900B66" w:rsidRPr="00900B66" w:rsidRDefault="00900B66">
      <w:pPr>
        <w:rPr>
          <w:b/>
        </w:rPr>
      </w:pPr>
      <w:r w:rsidRPr="00900B66">
        <w:rPr>
          <w:b/>
        </w:rPr>
        <w:t>GABARITO</w:t>
      </w:r>
      <w:bookmarkStart w:id="0" w:name="_GoBack"/>
      <w:bookmarkEnd w:id="0"/>
    </w:p>
    <w:p w:rsidR="00900B66" w:rsidRDefault="00E03015">
      <w:proofErr w:type="gramStart"/>
      <w:r>
        <w:t>01)</w:t>
      </w:r>
      <w:proofErr w:type="gramEnd"/>
      <w:r w:rsidR="003C2DEB">
        <w:t xml:space="preserve"> E</w:t>
      </w:r>
    </w:p>
    <w:p w:rsidR="00E03015" w:rsidRDefault="00E03015">
      <w:proofErr w:type="gramStart"/>
      <w:r>
        <w:t>02)</w:t>
      </w:r>
      <w:proofErr w:type="gramEnd"/>
      <w:r w:rsidR="00EF2BBF">
        <w:t xml:space="preserve"> A</w:t>
      </w:r>
    </w:p>
    <w:p w:rsidR="00E03015" w:rsidRDefault="00E03015">
      <w:proofErr w:type="gramStart"/>
      <w:r>
        <w:t>03)</w:t>
      </w:r>
      <w:proofErr w:type="gramEnd"/>
      <w:r w:rsidR="00D1304D">
        <w:t xml:space="preserve"> C</w:t>
      </w:r>
    </w:p>
    <w:p w:rsidR="00E03015" w:rsidRDefault="00E03015">
      <w:proofErr w:type="gramStart"/>
      <w:r>
        <w:t>04)</w:t>
      </w:r>
      <w:proofErr w:type="gramEnd"/>
      <w:r w:rsidR="00D84A8A">
        <w:t xml:space="preserve"> D</w:t>
      </w:r>
    </w:p>
    <w:p w:rsidR="00E03015" w:rsidRDefault="00E03015">
      <w:proofErr w:type="gramStart"/>
      <w:r>
        <w:t>05)</w:t>
      </w:r>
      <w:proofErr w:type="gramEnd"/>
      <w:r w:rsidR="001A52F3">
        <w:t xml:space="preserve"> B</w:t>
      </w:r>
    </w:p>
    <w:p w:rsidR="00E03015" w:rsidRDefault="00E03015">
      <w:proofErr w:type="gramStart"/>
      <w:r>
        <w:t>06)</w:t>
      </w:r>
      <w:proofErr w:type="gramEnd"/>
      <w:r w:rsidR="00394900">
        <w:t xml:space="preserve"> B</w:t>
      </w:r>
    </w:p>
    <w:p w:rsidR="00E03015" w:rsidRDefault="00E03015">
      <w:proofErr w:type="gramStart"/>
      <w:r>
        <w:t>07)</w:t>
      </w:r>
      <w:proofErr w:type="gramEnd"/>
      <w:r w:rsidR="0041427A">
        <w:t xml:space="preserve"> C</w:t>
      </w:r>
    </w:p>
    <w:p w:rsidR="00E03015" w:rsidRDefault="00E03015">
      <w:proofErr w:type="gramStart"/>
      <w:r>
        <w:t>08)</w:t>
      </w:r>
      <w:proofErr w:type="gramEnd"/>
      <w:r w:rsidR="00DC7C69">
        <w:t xml:space="preserve"> A</w:t>
      </w:r>
    </w:p>
    <w:p w:rsidR="00FE69D3" w:rsidRDefault="00FE69D3"/>
    <w:p w:rsidR="00FE69D3" w:rsidRPr="00900B66" w:rsidRDefault="00FE69D3">
      <w:r>
        <w:t>Bons estudos e uma ótima prova!</w:t>
      </w:r>
    </w:p>
    <w:sectPr w:rsidR="00FE69D3" w:rsidRPr="00900B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20"/>
    <w:rsid w:val="00065082"/>
    <w:rsid w:val="0006589E"/>
    <w:rsid w:val="00066A17"/>
    <w:rsid w:val="00066ABF"/>
    <w:rsid w:val="000869C4"/>
    <w:rsid w:val="001065D4"/>
    <w:rsid w:val="00133728"/>
    <w:rsid w:val="00154815"/>
    <w:rsid w:val="00166722"/>
    <w:rsid w:val="001753FE"/>
    <w:rsid w:val="00191041"/>
    <w:rsid w:val="001A52F3"/>
    <w:rsid w:val="001E78AE"/>
    <w:rsid w:val="0022494A"/>
    <w:rsid w:val="002E71BC"/>
    <w:rsid w:val="00335CDE"/>
    <w:rsid w:val="00373317"/>
    <w:rsid w:val="00394900"/>
    <w:rsid w:val="003C125D"/>
    <w:rsid w:val="003C2DEB"/>
    <w:rsid w:val="003E0B42"/>
    <w:rsid w:val="003E6427"/>
    <w:rsid w:val="0041427A"/>
    <w:rsid w:val="00436684"/>
    <w:rsid w:val="004740A1"/>
    <w:rsid w:val="00493B6B"/>
    <w:rsid w:val="004A502B"/>
    <w:rsid w:val="004B6A1F"/>
    <w:rsid w:val="004D1D03"/>
    <w:rsid w:val="005102C2"/>
    <w:rsid w:val="005C2B4F"/>
    <w:rsid w:val="0062531B"/>
    <w:rsid w:val="00660E6C"/>
    <w:rsid w:val="006975C8"/>
    <w:rsid w:val="006B4570"/>
    <w:rsid w:val="006C35CA"/>
    <w:rsid w:val="007A0877"/>
    <w:rsid w:val="007A7B24"/>
    <w:rsid w:val="007D04ED"/>
    <w:rsid w:val="007D1756"/>
    <w:rsid w:val="007D637C"/>
    <w:rsid w:val="0080468C"/>
    <w:rsid w:val="008212D3"/>
    <w:rsid w:val="008465F7"/>
    <w:rsid w:val="008524E3"/>
    <w:rsid w:val="00857FA0"/>
    <w:rsid w:val="008916B2"/>
    <w:rsid w:val="008E2F34"/>
    <w:rsid w:val="00900B66"/>
    <w:rsid w:val="00920091"/>
    <w:rsid w:val="00947702"/>
    <w:rsid w:val="00967D1C"/>
    <w:rsid w:val="009A359B"/>
    <w:rsid w:val="009C7609"/>
    <w:rsid w:val="00A17E20"/>
    <w:rsid w:val="00A73E46"/>
    <w:rsid w:val="00A80DC9"/>
    <w:rsid w:val="00AB0985"/>
    <w:rsid w:val="00AD5124"/>
    <w:rsid w:val="00B12978"/>
    <w:rsid w:val="00B15C3C"/>
    <w:rsid w:val="00B23D72"/>
    <w:rsid w:val="00B63C91"/>
    <w:rsid w:val="00B85F4A"/>
    <w:rsid w:val="00BC25D2"/>
    <w:rsid w:val="00BD5D19"/>
    <w:rsid w:val="00BF2048"/>
    <w:rsid w:val="00C02321"/>
    <w:rsid w:val="00C06618"/>
    <w:rsid w:val="00C45FA3"/>
    <w:rsid w:val="00C47494"/>
    <w:rsid w:val="00C62948"/>
    <w:rsid w:val="00C7302C"/>
    <w:rsid w:val="00C958BF"/>
    <w:rsid w:val="00CD5867"/>
    <w:rsid w:val="00CD7411"/>
    <w:rsid w:val="00D1304D"/>
    <w:rsid w:val="00D2707F"/>
    <w:rsid w:val="00D84A8A"/>
    <w:rsid w:val="00DC5987"/>
    <w:rsid w:val="00DC7C69"/>
    <w:rsid w:val="00E03015"/>
    <w:rsid w:val="00E13352"/>
    <w:rsid w:val="00E20211"/>
    <w:rsid w:val="00E377A0"/>
    <w:rsid w:val="00E95203"/>
    <w:rsid w:val="00EA2AED"/>
    <w:rsid w:val="00EA2FD7"/>
    <w:rsid w:val="00EC735A"/>
    <w:rsid w:val="00EF2BBF"/>
    <w:rsid w:val="00F162A1"/>
    <w:rsid w:val="00F40D73"/>
    <w:rsid w:val="00F54ADD"/>
    <w:rsid w:val="00F770F8"/>
    <w:rsid w:val="00F86CA1"/>
    <w:rsid w:val="00FE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uiPriority w:val="9"/>
    <w:qFormat/>
    <w:rsid w:val="008465F7"/>
    <w:pPr>
      <w:keepNext/>
      <w:keepLines/>
      <w:spacing w:before="480" w:after="0"/>
      <w:outlineLvl w:val="0"/>
    </w:pPr>
    <w:rPr>
      <w:rFonts w:ascii="Times New Roman" w:eastAsia="Times New Roman" w:hAnsi="Times New Roman"/>
      <w:b/>
      <w:bCs/>
      <w:color w:val="365F91"/>
      <w:sz w:val="24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20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F2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link w:val="Ttulo1"/>
    <w:uiPriority w:val="9"/>
    <w:rsid w:val="008465F7"/>
    <w:rPr>
      <w:rFonts w:ascii="Times New Roman" w:eastAsia="Times New Roman" w:hAnsi="Times New Roman"/>
      <w:b/>
      <w:bCs/>
      <w:color w:val="365F91"/>
      <w:sz w:val="24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uiPriority w:val="9"/>
    <w:qFormat/>
    <w:rsid w:val="008465F7"/>
    <w:pPr>
      <w:keepNext/>
      <w:keepLines/>
      <w:spacing w:before="480" w:after="0"/>
      <w:outlineLvl w:val="0"/>
    </w:pPr>
    <w:rPr>
      <w:rFonts w:ascii="Times New Roman" w:eastAsia="Times New Roman" w:hAnsi="Times New Roman"/>
      <w:b/>
      <w:bCs/>
      <w:color w:val="365F91"/>
      <w:sz w:val="24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20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F2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link w:val="Ttulo1"/>
    <w:uiPriority w:val="9"/>
    <w:rsid w:val="008465F7"/>
    <w:rPr>
      <w:rFonts w:ascii="Times New Roman" w:eastAsia="Times New Roman" w:hAnsi="Times New Roman"/>
      <w:b/>
      <w:bCs/>
      <w:color w:val="365F91"/>
      <w:sz w:val="24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1311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 Maria</dc:creator>
  <cp:lastModifiedBy>Thaís Maria</cp:lastModifiedBy>
  <cp:revision>216</cp:revision>
  <dcterms:created xsi:type="dcterms:W3CDTF">2021-09-04T17:31:00Z</dcterms:created>
  <dcterms:modified xsi:type="dcterms:W3CDTF">2021-09-04T22:48:00Z</dcterms:modified>
</cp:coreProperties>
</file>